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04AC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44894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31D6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246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A31D6E">
        <w:rPr>
          <w:rFonts w:ascii="Times New Roman" w:hAnsi="Times New Roman"/>
          <w:sz w:val="28"/>
          <w:szCs w:val="28"/>
        </w:rPr>
        <w:t>, на основании заявления Гришиной Натальи Александровны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31D6E">
        <w:rPr>
          <w:rFonts w:ascii="Times New Roman" w:eastAsia="Times New Roman" w:hAnsi="Times New Roman" w:cs="Times New Roman"/>
          <w:sz w:val="28"/>
          <w:szCs w:val="28"/>
        </w:rPr>
        <w:t>53:03:0415007:14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A31D6E">
        <w:rPr>
          <w:rFonts w:ascii="Times New Roman" w:hAnsi="Times New Roman"/>
          <w:sz w:val="28"/>
          <w:szCs w:val="28"/>
        </w:rPr>
        <w:t>Новая Ситенка,  земельный участок  98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C6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31D6E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164A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391</cp:revision>
  <cp:lastPrinted>2021-09-06T12:56:00Z</cp:lastPrinted>
  <dcterms:created xsi:type="dcterms:W3CDTF">2016-10-03T05:45:00Z</dcterms:created>
  <dcterms:modified xsi:type="dcterms:W3CDTF">2021-09-06T12:56:00Z</dcterms:modified>
</cp:coreProperties>
</file>