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F534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26778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263B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C9069E">
        <w:rPr>
          <w:rFonts w:ascii="Times New Roman" w:hAnsi="Times New Roman"/>
          <w:b/>
          <w:sz w:val="28"/>
          <w:szCs w:val="28"/>
        </w:rPr>
        <w:t>629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C9069E">
        <w:rPr>
          <w:rFonts w:ascii="Times New Roman" w:eastAsia="Times New Roman" w:hAnsi="Times New Roman" w:cs="Times New Roman"/>
          <w:sz w:val="28"/>
          <w:szCs w:val="28"/>
        </w:rPr>
        <w:t>53:03:0415004:51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C9069E">
        <w:rPr>
          <w:rFonts w:ascii="Times New Roman" w:hAnsi="Times New Roman"/>
          <w:sz w:val="28"/>
          <w:szCs w:val="28"/>
        </w:rPr>
        <w:t>земельный участок  17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1040</cp:revision>
  <cp:lastPrinted>2021-11-24T11:03:00Z</cp:lastPrinted>
  <dcterms:created xsi:type="dcterms:W3CDTF">2016-10-03T05:45:00Z</dcterms:created>
  <dcterms:modified xsi:type="dcterms:W3CDTF">2021-11-24T11:03:00Z</dcterms:modified>
</cp:coreProperties>
</file>