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51" w:rsidRDefault="00DE6351" w:rsidP="00DE6351">
      <w:pPr>
        <w:pStyle w:val="a4"/>
        <w:rPr>
          <w:rFonts w:ascii="Times New Roman" w:hAnsi="Times New Roman"/>
          <w:b/>
          <w:sz w:val="24"/>
          <w:szCs w:val="24"/>
        </w:rPr>
      </w:pPr>
      <w:r>
        <w:rPr>
          <w:rFonts w:ascii="Times New Roman" w:hAnsi="Times New Roman"/>
          <w:b/>
          <w:sz w:val="24"/>
          <w:szCs w:val="24"/>
        </w:rPr>
        <w:t>Информационный бюллетень</w:t>
      </w:r>
    </w:p>
    <w:p w:rsidR="00DE6351" w:rsidRDefault="00DE6351" w:rsidP="00DE6351">
      <w:pPr>
        <w:pStyle w:val="a4"/>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DE6351" w:rsidRDefault="00DE6351" w:rsidP="00DE6351">
      <w:pPr>
        <w:pStyle w:val="a4"/>
        <w:rPr>
          <w:rFonts w:ascii="Times New Roman" w:hAnsi="Times New Roman"/>
          <w:b/>
        </w:rPr>
      </w:pPr>
    </w:p>
    <w:p w:rsidR="00DE6351" w:rsidRDefault="00DE6351" w:rsidP="00DE6351">
      <w:pPr>
        <w:pStyle w:val="a4"/>
        <w:jc w:val="center"/>
        <w:rPr>
          <w:rFonts w:ascii="Times New Roman" w:hAnsi="Times New Roman"/>
          <w:b/>
          <w:sz w:val="56"/>
          <w:szCs w:val="56"/>
        </w:rPr>
      </w:pPr>
      <w:r>
        <w:rPr>
          <w:rFonts w:ascii="Times New Roman" w:hAnsi="Times New Roman"/>
          <w:b/>
          <w:sz w:val="56"/>
          <w:szCs w:val="56"/>
        </w:rPr>
        <w:t>«ЕДРОВСКИЙ ВЕСТНИК»</w:t>
      </w:r>
    </w:p>
    <w:p w:rsidR="00DE6351" w:rsidRDefault="00D0491F" w:rsidP="00DE6351">
      <w:pPr>
        <w:pStyle w:val="a4"/>
        <w:rPr>
          <w:rFonts w:ascii="Times New Roman" w:hAnsi="Times New Roman"/>
          <w:b/>
        </w:rPr>
      </w:pPr>
      <w:r>
        <w:rPr>
          <w:rFonts w:ascii="Times New Roman" w:hAnsi="Times New Roman"/>
          <w:b/>
          <w:sz w:val="24"/>
          <w:szCs w:val="24"/>
        </w:rPr>
        <w:t>27</w:t>
      </w:r>
      <w:r w:rsidR="00DE6351">
        <w:rPr>
          <w:rFonts w:ascii="Times New Roman" w:hAnsi="Times New Roman"/>
          <w:b/>
          <w:sz w:val="24"/>
          <w:szCs w:val="24"/>
        </w:rPr>
        <w:t>.04</w:t>
      </w:r>
      <w:r w:rsidR="00DE6351" w:rsidRPr="00853ABE">
        <w:rPr>
          <w:rFonts w:ascii="Times New Roman" w:hAnsi="Times New Roman"/>
          <w:b/>
          <w:sz w:val="24"/>
          <w:szCs w:val="24"/>
        </w:rPr>
        <w:t>.</w:t>
      </w:r>
      <w:r w:rsidR="00DE6351">
        <w:rPr>
          <w:rFonts w:ascii="Times New Roman" w:hAnsi="Times New Roman"/>
          <w:b/>
          <w:sz w:val="24"/>
          <w:szCs w:val="24"/>
        </w:rPr>
        <w:t xml:space="preserve"> 2018 год</w:t>
      </w:r>
      <w:r w:rsidR="00DE6351">
        <w:rPr>
          <w:rFonts w:ascii="Times New Roman" w:hAnsi="Times New Roman"/>
          <w:b/>
        </w:rPr>
        <w:t xml:space="preserve">                                                                                                                                                               </w:t>
      </w:r>
    </w:p>
    <w:p w:rsidR="00DE6351" w:rsidRDefault="00D0491F" w:rsidP="00DE6351">
      <w:pPr>
        <w:pStyle w:val="a4"/>
        <w:rPr>
          <w:rFonts w:ascii="Times New Roman" w:hAnsi="Times New Roman"/>
          <w:b/>
          <w:sz w:val="24"/>
          <w:szCs w:val="24"/>
        </w:rPr>
      </w:pPr>
      <w:r>
        <w:rPr>
          <w:rFonts w:ascii="Times New Roman" w:hAnsi="Times New Roman"/>
          <w:b/>
          <w:sz w:val="24"/>
          <w:szCs w:val="24"/>
        </w:rPr>
        <w:t>№ 8 (147</w:t>
      </w:r>
      <w:r w:rsidR="00DE6351">
        <w:rPr>
          <w:rFonts w:ascii="Times New Roman" w:hAnsi="Times New Roman"/>
          <w:b/>
          <w:sz w:val="24"/>
          <w:szCs w:val="24"/>
        </w:rPr>
        <w:t>)</w:t>
      </w:r>
    </w:p>
    <w:p w:rsidR="00DE6351" w:rsidRDefault="00DE6351" w:rsidP="00DE6351">
      <w:pPr>
        <w:pStyle w:val="a4"/>
        <w:rPr>
          <w:rFonts w:ascii="Times New Roman" w:hAnsi="Times New Roman"/>
          <w:b/>
          <w:sz w:val="24"/>
          <w:szCs w:val="24"/>
        </w:rPr>
      </w:pPr>
      <w:r>
        <w:rPr>
          <w:rFonts w:ascii="Times New Roman" w:hAnsi="Times New Roman"/>
          <w:b/>
          <w:sz w:val="24"/>
          <w:szCs w:val="24"/>
        </w:rPr>
        <w:t>_____________________________________________________________________________</w:t>
      </w:r>
    </w:p>
    <w:p w:rsidR="00467F1A" w:rsidRDefault="00467F1A" w:rsidP="00DE6351">
      <w:pPr>
        <w:pStyle w:val="a5"/>
        <w:ind w:firstLine="0"/>
        <w:jc w:val="center"/>
        <w:rPr>
          <w:b/>
          <w:color w:val="auto"/>
          <w:sz w:val="20"/>
          <w:szCs w:val="20"/>
        </w:rPr>
      </w:pPr>
      <w:r>
        <w:rPr>
          <w:b/>
          <w:color w:val="auto"/>
          <w:sz w:val="20"/>
          <w:szCs w:val="20"/>
        </w:rPr>
        <w:t>ПРОЕКТ</w:t>
      </w:r>
    </w:p>
    <w:p w:rsidR="00DE6351" w:rsidRPr="00DE6351" w:rsidRDefault="00DE6351" w:rsidP="00DE6351">
      <w:pPr>
        <w:pStyle w:val="a5"/>
        <w:ind w:firstLine="0"/>
        <w:jc w:val="center"/>
        <w:rPr>
          <w:b/>
          <w:color w:val="auto"/>
          <w:sz w:val="20"/>
          <w:szCs w:val="20"/>
        </w:rPr>
      </w:pPr>
      <w:r w:rsidRPr="00DE6351">
        <w:rPr>
          <w:b/>
          <w:color w:val="auto"/>
          <w:sz w:val="20"/>
          <w:szCs w:val="20"/>
        </w:rPr>
        <w:t xml:space="preserve">ГЕНЕРАЛЬНЫЙ ПЛАН </w:t>
      </w:r>
    </w:p>
    <w:p w:rsidR="00DE6351" w:rsidRPr="00DE6351" w:rsidRDefault="00DE6351" w:rsidP="00DE6351">
      <w:pPr>
        <w:pStyle w:val="a5"/>
        <w:ind w:firstLine="0"/>
        <w:jc w:val="center"/>
        <w:rPr>
          <w:b/>
          <w:color w:val="auto"/>
          <w:sz w:val="20"/>
          <w:szCs w:val="20"/>
        </w:rPr>
      </w:pPr>
      <w:r w:rsidRPr="00DE6351">
        <w:rPr>
          <w:b/>
          <w:color w:val="auto"/>
          <w:sz w:val="20"/>
          <w:szCs w:val="20"/>
        </w:rPr>
        <w:t>ЕДРОВСКОЕ СЕЛЬСКОГО ПОСЕЛЕНИЯ ВАЛДАЙСКОГО РАЙОНА НОВГОРОДСКОЙ ОБЛАСТИ</w:t>
      </w:r>
    </w:p>
    <w:p w:rsidR="00DE6351" w:rsidRPr="00DE6351" w:rsidRDefault="00DE6351" w:rsidP="00DE6351">
      <w:pPr>
        <w:pStyle w:val="a5"/>
        <w:ind w:firstLine="0"/>
        <w:jc w:val="center"/>
        <w:rPr>
          <w:b/>
          <w:color w:val="auto"/>
          <w:sz w:val="20"/>
          <w:szCs w:val="20"/>
        </w:rPr>
      </w:pPr>
      <w:r w:rsidRPr="00DE6351">
        <w:rPr>
          <w:b/>
          <w:color w:val="auto"/>
          <w:sz w:val="20"/>
          <w:szCs w:val="20"/>
        </w:rPr>
        <w:t>(внесение изменений)</w:t>
      </w:r>
    </w:p>
    <w:p w:rsidR="007A0E00" w:rsidRPr="00201A0D" w:rsidRDefault="00DE6351" w:rsidP="00201A0D">
      <w:pPr>
        <w:jc w:val="center"/>
        <w:rPr>
          <w:rFonts w:ascii="Times New Roman" w:eastAsia="Times New Roman" w:hAnsi="Times New Roman" w:cs="Times New Roman"/>
          <w:b/>
          <w:kern w:val="1"/>
          <w:sz w:val="20"/>
          <w:szCs w:val="20"/>
        </w:rPr>
      </w:pPr>
      <w:r w:rsidRPr="00201A0D">
        <w:rPr>
          <w:rFonts w:ascii="Times New Roman" w:eastAsia="Times New Roman" w:hAnsi="Times New Roman" w:cs="Times New Roman"/>
          <w:b/>
          <w:kern w:val="1"/>
          <w:sz w:val="20"/>
          <w:szCs w:val="20"/>
        </w:rPr>
        <w:t>МАТЕРИАЛЫ ПО ОБОСНОВАНИЮ ГЕНЕРАЛЬНОГО ПЛАНА</w:t>
      </w:r>
    </w:p>
    <w:p w:rsidR="00201A0D" w:rsidRPr="00201A0D" w:rsidRDefault="00201A0D" w:rsidP="00201A0D">
      <w:pPr>
        <w:spacing w:after="0"/>
        <w:jc w:val="center"/>
        <w:rPr>
          <w:rFonts w:ascii="Times New Roman" w:hAnsi="Times New Roman" w:cs="Times New Roman"/>
          <w:sz w:val="20"/>
          <w:szCs w:val="20"/>
        </w:rPr>
      </w:pPr>
      <w:bookmarkStart w:id="0" w:name="_Toc347315725"/>
      <w:bookmarkStart w:id="1" w:name="_Toc433382406"/>
      <w:r w:rsidRPr="00201A0D">
        <w:rPr>
          <w:rFonts w:ascii="Times New Roman" w:hAnsi="Times New Roman" w:cs="Times New Roman"/>
          <w:sz w:val="20"/>
          <w:szCs w:val="20"/>
        </w:rPr>
        <w:t>Введение.</w:t>
      </w:r>
      <w:bookmarkEnd w:id="0"/>
      <w:bookmarkEnd w:id="1"/>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Генеральный план Едровского сельского поселения Валдайского муниципального района Новгородской области (далее – Генплан) был разработан  в 2010 году ОАО «Институт Новгородгражданпроект» по заказу Администрации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процессе реализации Генерального плана Едровского сельского поселения возникла необходимость внесения изменений, которые предусматривают значительные изменения в развитии д.Большое Носакино и в некоторые другие положения генплана.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Изменения в Генеральный план Едровского сельского поселения разработаны в 2014 гг. Обществом с Ограниченной Ответственностью «ГрафИнфо» (Великий Новгород) в соответствии с договором № 14/13 от 30.01.2014 г. между ООО «ГрафИнфо» и Администрацией Едровского сельского поселения Валдайского района и техническим заданием на подготовку проекта внесения изменений в документ территориального планирования (генеральный план)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Настоящие изменения в Генеральный план Едровского сельского поселения разработаны в 2018 гг. Обществом с Ограниченной Ответственностью «ГрафИнфо» (Великий Новгород) на основании постановления Администрации Едровского сельского поселения от 09.01.2018г.№1. Изменения касаются следующих населенных пунктов: с.Едрово, д.Добывалово, д.Рядчино.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Едровского сельского поселения и уточненных перспектив развития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со ст.23 Градостроительного Кодекса измененный генеральный план содержит положение о территориальном планировании и соответствующие карты.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 генеральному плану прилагаются материалы по его обоснованию в текстовой форме и в виде карт.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Материалы по обоснованию генерального плана в текстовой форме содержат: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w:t>
      </w:r>
      <w:r w:rsidRPr="00201A0D">
        <w:rPr>
          <w:rFonts w:ascii="Times New Roman" w:hAnsi="Times New Roman" w:cs="Times New Roman"/>
          <w:sz w:val="20"/>
          <w:szCs w:val="20"/>
        </w:rPr>
        <w:lastRenderedPageBreak/>
        <w:t>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6) перечень и характеристику основных факторов риска возникновения чрезвычайных ситуаций природного и техногенного характера;</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Корректировка генерального плана осуществлена на период до 2034 года.</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администрацией Едровского сельского поселения.</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В основу генерального плана положены данные, предоставленные администрацией поселения в 2014 году.</w:t>
      </w:r>
    </w:p>
    <w:p w:rsidR="00201A0D" w:rsidRPr="00201A0D" w:rsidRDefault="00201A0D" w:rsidP="00A51C94">
      <w:pPr>
        <w:spacing w:after="0"/>
        <w:jc w:val="both"/>
        <w:rPr>
          <w:rFonts w:ascii="Times New Roman" w:hAnsi="Times New Roman" w:cs="Times New Roman"/>
          <w:sz w:val="20"/>
          <w:szCs w:val="20"/>
        </w:rPr>
      </w:pPr>
      <w:bookmarkStart w:id="2" w:name="_Toc359405646"/>
      <w:bookmarkStart w:id="3" w:name="_Toc359854240"/>
      <w:bookmarkStart w:id="4" w:name="_Toc433382407"/>
      <w:r w:rsidRPr="00201A0D">
        <w:rPr>
          <w:rFonts w:ascii="Times New Roman" w:hAnsi="Times New Roman" w:cs="Times New Roman"/>
          <w:sz w:val="20"/>
          <w:szCs w:val="20"/>
        </w:rPr>
        <w:t>1. Программы и планы комплексного социально-экономического развития, для реализации которых осуществляется создание объектов местного значения.</w:t>
      </w:r>
      <w:bookmarkEnd w:id="2"/>
      <w:bookmarkEnd w:id="3"/>
      <w:bookmarkEnd w:id="4"/>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201A0D" w:rsidRPr="00201A0D" w:rsidRDefault="00201A0D" w:rsidP="00A51C9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w:t>
      </w:r>
      <w:r w:rsidRPr="00201A0D">
        <w:rPr>
          <w:rFonts w:ascii="Times New Roman" w:hAnsi="Times New Roman" w:cs="Times New Roman"/>
          <w:sz w:val="20"/>
          <w:szCs w:val="20"/>
        </w:rPr>
        <w:lastRenderedPageBreak/>
        <w:t>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201A0D" w:rsidRPr="00201A0D" w:rsidRDefault="00201A0D" w:rsidP="00201A0D">
      <w:pPr>
        <w:spacing w:after="0"/>
        <w:rPr>
          <w:rFonts w:ascii="Times New Roman" w:hAnsi="Times New Roman" w:cs="Times New Roman"/>
          <w:sz w:val="20"/>
          <w:szCs w:val="20"/>
        </w:rPr>
      </w:pPr>
      <w:bookmarkStart w:id="5" w:name="_Toc359405647"/>
      <w:bookmarkStart w:id="6" w:name="_Toc359854241"/>
      <w:bookmarkStart w:id="7" w:name="_Toc433382408"/>
      <w:r w:rsidRPr="00201A0D">
        <w:rPr>
          <w:rFonts w:ascii="Times New Roman" w:hAnsi="Times New Roman" w:cs="Times New Roman"/>
          <w:sz w:val="20"/>
          <w:szCs w:val="20"/>
        </w:rPr>
        <w:t>1.1. Сведения о планах и программах комплексного социально-экономического развития поселения</w:t>
      </w:r>
      <w:bookmarkEnd w:id="5"/>
      <w:bookmarkEnd w:id="6"/>
      <w:r w:rsidRPr="00201A0D">
        <w:rPr>
          <w:rFonts w:ascii="Times New Roman" w:hAnsi="Times New Roman" w:cs="Times New Roman"/>
          <w:sz w:val="20"/>
          <w:szCs w:val="20"/>
        </w:rPr>
        <w:t>.</w:t>
      </w:r>
      <w:bookmarkEnd w:id="7"/>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Социально-экономическое развитие муниципального образования Едровского сельского поселения осуществляется с учетом  программ социально-экономического развития Новгородской области, Валдайского района и Едровского сельского поселения.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Перечень документов территориального планирования, действие которых распространяется на территорию поселения, приведен в таблицах 2.1.1. – 2.1.3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2.1.1.</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7"/>
        <w:gridCol w:w="3524"/>
      </w:tblGrid>
      <w:tr w:rsidR="00201A0D" w:rsidRPr="00201A0D" w:rsidTr="00201A0D">
        <w:trPr>
          <w:trHeight w:val="1215"/>
        </w:trPr>
        <w:tc>
          <w:tcPr>
            <w:tcW w:w="10420" w:type="dxa"/>
            <w:gridSpan w:val="2"/>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Перечень </w:t>
            </w:r>
            <w:r w:rsidRPr="00201A0D">
              <w:rPr>
                <w:rFonts w:ascii="Times New Roman" w:hAnsi="Times New Roman" w:cs="Times New Roman"/>
                <w:sz w:val="20"/>
                <w:szCs w:val="20"/>
              </w:rPr>
              <w:br/>
              <w:t>государственных программ Российской Федерации, в их составе федеральных целевых программ, реализуемых в Новгородской области в 2018 году</w:t>
            </w:r>
          </w:p>
        </w:tc>
      </w:tr>
      <w:tr w:rsidR="00201A0D" w:rsidRPr="00201A0D" w:rsidTr="00201A0D">
        <w:trPr>
          <w:trHeight w:val="300"/>
        </w:trPr>
        <w:tc>
          <w:tcPr>
            <w:tcW w:w="6610" w:type="dxa"/>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Наименование </w:t>
            </w:r>
            <w:r w:rsidRPr="00201A0D">
              <w:rPr>
                <w:rFonts w:ascii="Times New Roman" w:hAnsi="Times New Roman" w:cs="Times New Roman"/>
                <w:sz w:val="20"/>
                <w:szCs w:val="20"/>
              </w:rPr>
              <w:br/>
              <w:t>государственной программы Российской Федерации</w:t>
            </w:r>
          </w:p>
        </w:tc>
        <w:tc>
          <w:tcPr>
            <w:tcW w:w="3810" w:type="dxa"/>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том числе</w:t>
            </w:r>
          </w:p>
        </w:tc>
      </w:tr>
      <w:tr w:rsidR="00201A0D" w:rsidRPr="00201A0D" w:rsidTr="00201A0D">
        <w:trPr>
          <w:trHeight w:val="509"/>
        </w:trPr>
        <w:tc>
          <w:tcPr>
            <w:tcW w:w="6610" w:type="dxa"/>
            <w:vMerge/>
            <w:vAlign w:val="center"/>
            <w:hideMark/>
          </w:tcPr>
          <w:p w:rsidR="00201A0D" w:rsidRPr="00201A0D" w:rsidRDefault="00201A0D" w:rsidP="00201A0D">
            <w:pPr>
              <w:spacing w:after="0"/>
              <w:rPr>
                <w:rFonts w:ascii="Times New Roman" w:hAnsi="Times New Roman" w:cs="Times New Roman"/>
                <w:sz w:val="20"/>
                <w:szCs w:val="20"/>
              </w:rPr>
            </w:pPr>
          </w:p>
        </w:tc>
        <w:tc>
          <w:tcPr>
            <w:tcW w:w="3810" w:type="dxa"/>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федеральная целевая программа</w:t>
            </w:r>
          </w:p>
        </w:tc>
      </w:tr>
      <w:tr w:rsidR="00201A0D" w:rsidRPr="00201A0D" w:rsidTr="00201A0D">
        <w:trPr>
          <w:trHeight w:val="509"/>
        </w:trPr>
        <w:tc>
          <w:tcPr>
            <w:tcW w:w="6610" w:type="dxa"/>
            <w:vMerge/>
            <w:vAlign w:val="center"/>
            <w:hideMark/>
          </w:tcPr>
          <w:p w:rsidR="00201A0D" w:rsidRPr="00201A0D" w:rsidRDefault="00201A0D" w:rsidP="00201A0D">
            <w:pPr>
              <w:spacing w:after="0"/>
              <w:rPr>
                <w:rFonts w:ascii="Times New Roman" w:hAnsi="Times New Roman" w:cs="Times New Roman"/>
                <w:sz w:val="20"/>
                <w:szCs w:val="20"/>
              </w:rPr>
            </w:pPr>
          </w:p>
        </w:tc>
        <w:tc>
          <w:tcPr>
            <w:tcW w:w="3810" w:type="dxa"/>
            <w:vMerge/>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509"/>
        </w:trPr>
        <w:tc>
          <w:tcPr>
            <w:tcW w:w="6610" w:type="dxa"/>
            <w:vMerge/>
            <w:vAlign w:val="center"/>
            <w:hideMark/>
          </w:tcPr>
          <w:p w:rsidR="00201A0D" w:rsidRPr="00201A0D" w:rsidRDefault="00201A0D" w:rsidP="00201A0D">
            <w:pPr>
              <w:spacing w:after="0"/>
              <w:rPr>
                <w:rFonts w:ascii="Times New Roman" w:hAnsi="Times New Roman" w:cs="Times New Roman"/>
                <w:sz w:val="20"/>
                <w:szCs w:val="20"/>
              </w:rPr>
            </w:pPr>
          </w:p>
        </w:tc>
        <w:tc>
          <w:tcPr>
            <w:tcW w:w="3810" w:type="dxa"/>
            <w:vMerge/>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30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здравоохранения</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115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образования на 2013 - 2020 годы</w:t>
            </w:r>
            <w:r w:rsidRPr="00201A0D">
              <w:rPr>
                <w:rFonts w:ascii="Times New Roman" w:hAnsi="Times New Roman" w:cs="Times New Roman"/>
                <w:sz w:val="20"/>
                <w:szCs w:val="20"/>
              </w:rPr>
              <w:br/>
              <w:t>в том числе программа "Содействие созданию в субъектах Российской Федерации новых мест в общеобразовательных организациях" на 2016 - 2025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Федеральная целевая программа развития образования на 2016-2020 годы </w:t>
            </w:r>
          </w:p>
        </w:tc>
      </w:tr>
      <w:tr w:rsidR="00201A0D" w:rsidRPr="00201A0D" w:rsidTr="00201A0D">
        <w:trPr>
          <w:trHeight w:val="30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Социальная поддержка граждан</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36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Доступная среда на 2011 - 2020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30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Содействие занятости населения</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85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культуры и туризма на 2013-2020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ФЦП "Развитие внутреннего и въездного туризма в Российской Федерации (2011 - 2018 годы)"</w:t>
            </w:r>
          </w:p>
        </w:tc>
      </w:tr>
      <w:tr w:rsidR="00201A0D" w:rsidRPr="00201A0D" w:rsidTr="00201A0D">
        <w:trPr>
          <w:trHeight w:val="87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ГП "Развитие физической культуры и спорта" </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ФЦП "Развитие физической культуры и спорта в Российской Федерации на 2016 - 2020 годы"</w:t>
            </w:r>
          </w:p>
        </w:tc>
      </w:tr>
      <w:tr w:rsidR="00201A0D" w:rsidRPr="00201A0D" w:rsidTr="00201A0D">
        <w:trPr>
          <w:trHeight w:val="256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Обеспечение доступным и комфортным жильем и коммунальными услугами граждан Российской Федерации</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ФЦП "Жилище" на 2015-2020 годы </w:t>
            </w:r>
            <w:r w:rsidRPr="00201A0D">
              <w:rPr>
                <w:rFonts w:ascii="Times New Roman" w:hAnsi="Times New Roman" w:cs="Times New Roman"/>
                <w:sz w:val="20"/>
                <w:szCs w:val="20"/>
              </w:rPr>
              <w:br/>
              <w:t>подпрограмма "Обеспечение жильем молодых семей"</w:t>
            </w:r>
            <w:r w:rsidRPr="00201A0D">
              <w:rPr>
                <w:rFonts w:ascii="Times New Roman" w:hAnsi="Times New Roman" w:cs="Times New Roman"/>
                <w:sz w:val="20"/>
                <w:szCs w:val="20"/>
              </w:rPr>
              <w:br/>
              <w:t>подпрограмма "Выполнение государственных обязательств по обеспечению жильем категорий граждан, установленных федеральным законодательством"</w:t>
            </w:r>
          </w:p>
        </w:tc>
      </w:tr>
      <w:tr w:rsidR="00201A0D" w:rsidRPr="00201A0D" w:rsidTr="00201A0D">
        <w:trPr>
          <w:trHeight w:val="34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Экономическое развитие и инновационная экономика </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34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Информационное общество (2011 - 2020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855"/>
        </w:trPr>
        <w:tc>
          <w:tcPr>
            <w:tcW w:w="6610" w:type="dxa"/>
            <w:vMerge w:val="restart"/>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Государственная программа развития сельского хозяйства и регулирования рынков сельскохозяйственной продукции, сырья и продовольствия на 2013 - 2020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ФЦП «Устойчивое развитие сельских территорий на 2014-2017 годы и на период до 2020 года»</w:t>
            </w:r>
          </w:p>
        </w:tc>
      </w:tr>
      <w:tr w:rsidR="00201A0D" w:rsidRPr="00201A0D" w:rsidTr="00201A0D">
        <w:trPr>
          <w:trHeight w:val="900"/>
        </w:trPr>
        <w:tc>
          <w:tcPr>
            <w:tcW w:w="6610" w:type="dxa"/>
            <w:vMerge/>
            <w:vAlign w:val="center"/>
            <w:hideMark/>
          </w:tcPr>
          <w:p w:rsidR="00201A0D" w:rsidRPr="00201A0D" w:rsidRDefault="00201A0D" w:rsidP="00201A0D">
            <w:pPr>
              <w:spacing w:after="0"/>
              <w:rPr>
                <w:rFonts w:ascii="Times New Roman" w:hAnsi="Times New Roman" w:cs="Times New Roman"/>
                <w:sz w:val="20"/>
                <w:szCs w:val="20"/>
              </w:rPr>
            </w:pP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ФЦП "Развитие мелиорации земель сельскохозяйственного назначения России на 2014-2020 годы"</w:t>
            </w:r>
          </w:p>
        </w:tc>
      </w:tr>
      <w:tr w:rsidR="00201A0D" w:rsidRPr="00201A0D" w:rsidTr="00201A0D">
        <w:trPr>
          <w:trHeight w:val="30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Охрана окружающей среды" на 2012 - 2020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30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лесного хозяйства" на 2013 - 2020 годы</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160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Обеспечение общественного порядка и противодействие преступности, </w:t>
            </w:r>
            <w:r w:rsidRPr="00201A0D">
              <w:rPr>
                <w:rFonts w:ascii="Times New Roman" w:hAnsi="Times New Roman" w:cs="Times New Roman"/>
                <w:sz w:val="20"/>
                <w:szCs w:val="20"/>
              </w:rPr>
              <w:br/>
              <w:t>в том числе государственная программа по оказанию содействия добровольному переселению в Российскую Федерацию соотечественников, проживающих за рубежом"</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465"/>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Реализация государственной национальной политики</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r w:rsidR="00201A0D" w:rsidRPr="00201A0D" w:rsidTr="00201A0D">
        <w:trPr>
          <w:trHeight w:val="72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«Юстиция»</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уголовно-исполнительной системы (2017–2025 годы)»</w:t>
            </w:r>
          </w:p>
        </w:tc>
      </w:tr>
      <w:tr w:rsidR="00201A0D" w:rsidRPr="00201A0D" w:rsidTr="00201A0D">
        <w:trPr>
          <w:trHeight w:val="2100"/>
        </w:trPr>
        <w:tc>
          <w:tcPr>
            <w:tcW w:w="66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Развитие федеративных отношений и создание условий для эффективного и  ответственного управления региональными и муниципальными финансами подпрограмма "Совершенствование системы распределения и  перераспределения финансовых ресурсов между уровнями бюджетной системы  Российской Федерации" </w:t>
            </w:r>
          </w:p>
        </w:tc>
        <w:tc>
          <w:tcPr>
            <w:tcW w:w="3810" w:type="dxa"/>
            <w:shd w:val="clear" w:color="auto" w:fill="auto"/>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r>
    </w:tbl>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2.1.2.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Перечень государственных программ Новгородской области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ред. распоряжения Правительства Новгородской области от 21.11.2017 N 371-рг)</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71"/>
        <w:gridCol w:w="4832"/>
        <w:gridCol w:w="4237"/>
      </w:tblGrid>
      <w:tr w:rsidR="00201A0D" w:rsidRPr="00201A0D" w:rsidTr="00201A0D">
        <w:trPr>
          <w:tblHeade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N п/п</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государственной программы Новгородской области</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Ответственный исполнитель</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здравоохранения Новгородской области до 2020 года</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здравоохранения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образования и молодежной политики в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образования и молодежной политики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культуры и туризма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культуры и туризма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Социальная поддержка граждан в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труда и социальной защиты населения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физической культуры и спорта на территории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по физической культуре и спорту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Улучшение жилищных условий граждан и повышение качества жилищно-коммунальных услуг в Новгородской области на 2014 - 2018 годы и на период до 2020 года</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по жилищно-коммунальному хозяйству и топливно-энергетическому комплексу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Содействие занятости населения в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труда и социальной защиты населения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8.</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агропромышленного комплекса в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сельского хозяйства и продовольствия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Устойчивое развитие сельских территорий в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сельского хозяйства и продовольствия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жилищного строительства на территории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строительства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Совершенствование и содержание дорожного хозяйства Новгородской области (за исключением автомобильных дорог федерального значения) на 2014 - 2022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транспорта и дорожного хозяйства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лесного хозяйства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лесного хозяйства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Охрана окружающей среды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природных ресурсов и экологии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водохозяйственного комплекса Новгородской области в 2014 - 2020 годах</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природных ресурсов и экологии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рыбохозяйственного комплекса Новгородской области в 2014 - 2020 годах</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природных ресурсов и экологии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ветеринарии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Совершенствование системы государственного управления в Новгородской области на 2017 - 2026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государственного управления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Управление государственными финансами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финансов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системы управления имуществом и государственными закупками в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имущественных отношений и государственных закупок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Обеспечение экономического развития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экономического развития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транспортной системы, связи и навигационной деятельности Новгородской области на 2014 - 2020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транспорта и дорожного хозяйства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Обеспечение общественного порядка и противодействие преступности в Новгородской </w:t>
            </w:r>
            <w:r w:rsidRPr="00201A0D">
              <w:rPr>
                <w:rFonts w:ascii="Times New Roman" w:hAnsi="Times New Roman" w:cs="Times New Roman"/>
                <w:sz w:val="20"/>
                <w:szCs w:val="20"/>
              </w:rPr>
              <w:lastRenderedPageBreak/>
              <w:t>области на 2017 - 2021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комитет Правительства Новгородской области по вопросам безопасности и </w:t>
            </w:r>
            <w:r w:rsidRPr="00201A0D">
              <w:rPr>
                <w:rFonts w:ascii="Times New Roman" w:hAnsi="Times New Roman" w:cs="Times New Roman"/>
                <w:sz w:val="20"/>
                <w:szCs w:val="20"/>
              </w:rPr>
              <w:lastRenderedPageBreak/>
              <w:t>правопорядка</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23.</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Градостроительная политика на территории Новгородской области на 2014 - 2019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архитектуры и градостроительной политики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2014 - 2019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электронного правительства и информационного общества в Новгородской области на 2017 - 2020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государственного управления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 оказанию содействия добровольному переселению в Российскую Федерацию соотечественников, проживающих за рубежом, на 2019 - 2021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труда и социальной защиты населения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Повышение безопасности дорожного движения в Новгородской области на 2015 - 2022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транспорта и дорожного хозяйства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Гармонизация межнациональных отношений на территории Новгородской области на 2015 - 2020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внутренней политики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2016 - 2020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внутренней политики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2016 - 2025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образования и молодежной политики Новгородской области</w:t>
            </w:r>
          </w:p>
        </w:tc>
      </w:tr>
      <w:tr w:rsidR="00201A0D" w:rsidRPr="00201A0D" w:rsidTr="00201A0D">
        <w:trPr>
          <w:tblCellSpacing w:w="15" w:type="dxa"/>
        </w:trPr>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Формирование современной городской среды на территории муниципальных образований Новгородской области на 2018 - 2022 годы</w:t>
            </w:r>
          </w:p>
        </w:tc>
        <w:tc>
          <w:tcPr>
            <w:tcW w:w="0" w:type="auto"/>
            <w:shd w:val="clear" w:color="auto" w:fill="FFFFFF"/>
            <w:tcMar>
              <w:top w:w="90" w:type="dxa"/>
              <w:left w:w="285" w:type="dxa"/>
              <w:bottom w:w="90" w:type="dxa"/>
              <w:right w:w="120" w:type="dxa"/>
            </w:tcMar>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департамент по жилищно-коммунальному хозяйству и топливно-энергетическому комплексу Новгородской области</w:t>
            </w:r>
          </w:p>
        </w:tc>
      </w:tr>
    </w:tbl>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2.1.3.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Программы социально-экономического развития Валдайского муниципального района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
        <w:gridCol w:w="2707"/>
        <w:gridCol w:w="2059"/>
        <w:gridCol w:w="2697"/>
        <w:gridCol w:w="1438"/>
      </w:tblGrid>
      <w:tr w:rsidR="00201A0D" w:rsidRPr="00201A0D" w:rsidTr="00201A0D">
        <w:trPr>
          <w:tblHeader/>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п/п</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муниципальной программы Валдайского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и номер нормативного документа</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Ответственный исполнитель программы, исполнители подпрограммы</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Срок реализации</w:t>
            </w:r>
          </w:p>
        </w:tc>
      </w:tr>
      <w:tr w:rsidR="00201A0D" w:rsidRPr="00201A0D" w:rsidTr="00201A0D">
        <w:trPr>
          <w:trHeight w:val="342"/>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 xml:space="preserve">Муниципальная программа «Обеспечение жильем молодых семей на </w:t>
            </w:r>
            <w:r w:rsidRPr="00201A0D">
              <w:rPr>
                <w:rFonts w:ascii="Times New Roman" w:hAnsi="Times New Roman" w:cs="Times New Roman"/>
                <w:sz w:val="20"/>
                <w:szCs w:val="20"/>
              </w:rPr>
              <w:lastRenderedPageBreak/>
              <w:t>территории Валдайского муниципального района на 2016-2018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постановление Администрации Валдайского </w:t>
            </w:r>
            <w:r w:rsidRPr="00201A0D">
              <w:rPr>
                <w:rFonts w:ascii="Times New Roman" w:hAnsi="Times New Roman" w:cs="Times New Roman"/>
                <w:sz w:val="20"/>
                <w:szCs w:val="20"/>
              </w:rPr>
              <w:lastRenderedPageBreak/>
              <w:t>муниципального района от 18.08.2015 № 1231</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Администрация Валдайского муниципального района в </w:t>
            </w:r>
            <w:r w:rsidRPr="00201A0D">
              <w:rPr>
                <w:rFonts w:ascii="Times New Roman" w:hAnsi="Times New Roman" w:cs="Times New Roman"/>
                <w:sz w:val="20"/>
                <w:szCs w:val="20"/>
              </w:rPr>
              <w:lastRenderedPageBreak/>
              <w:t>лице комитета жилищно-коммунального и дорожного хозяйства Администрация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2016-2018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Муниципальная программа «Развитие физической культуры и спорта в Валдайском</w:t>
            </w:r>
            <w:r w:rsidR="00A51C94">
              <w:rPr>
                <w:rFonts w:ascii="Times New Roman" w:hAnsi="Times New Roman" w:cs="Times New Roman"/>
                <w:sz w:val="20"/>
                <w:szCs w:val="20"/>
              </w:rPr>
              <w:t xml:space="preserve"> </w:t>
            </w:r>
            <w:r w:rsidRPr="00201A0D">
              <w:rPr>
                <w:rFonts w:ascii="Times New Roman" w:hAnsi="Times New Roman" w:cs="Times New Roman"/>
                <w:sz w:val="20"/>
                <w:szCs w:val="20"/>
              </w:rPr>
              <w:t xml:space="preserve">муниципальном районе на 2016-2020 годы»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07.10.2015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1473</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Администрация Валдайского муниципального района (отдел по физической культуре и спорту), муниципальное автономное  учреждение дополнительного образования "Детско- юношеская спортивная школа", комитет образования Администрации муниципального района, муниципальное автономное учреждение "Физкультурно - спортивный центр"</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«Управление муниципальными финансами Валдайского муниципального района на 2014-2020 годы»</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от 15.11.2013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1681</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финансов Администрации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Подпрограмма «Организация и обеспечение осуществления бюджетного процесса, управление муниципальным долгом муниципального района» </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финансов Администрации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"Повышение эффективности бюджетных расходов Валдайского муниципального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финансов Администрации Валдайского муниципального района, комитет по управлению муниципальным имуществом Администрации Валдайского муниципального района, комитет экономического развития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4.</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Валдайского муниципального района «Развитие образования и молодежной политики в Валдайском муниципальном районе на 2014-2020 годы»</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от 22.11.2013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1732</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муниципальное казённое учреждение комитет образования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Подпрограмма «Развитие дошкольного и общего образования в Валдайском муниципальном районе»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образования Администрации Валдайского муниципального района, муниципальное бюджетное учреждение "Центр обеспечения муниципальной системы образования, муниципальные  образовательные организации, Администрация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Подпрограмма «Развитие дополнительного образования в Валдайском муниципальном районе»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образования Администрации Валдайского муниципального района, муниципальное бюджетное учреждение "Центр обеспечения муниципальной системы образования, комитет культуры и туризма Администрации Валдайского муниципального района, отдел по физической культуре, спорту и молодёжной политике Администрации муниципального района, образовательные организации, муниципальное бюджетное учреждение "Административно - хозяйственное управление" </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 xml:space="preserve">Подпрограмма «Вовлечение молодежи Валдайского муниципального района в </w:t>
            </w:r>
            <w:r w:rsidRPr="00201A0D">
              <w:rPr>
                <w:rFonts w:ascii="Times New Roman" w:hAnsi="Times New Roman" w:cs="Times New Roman"/>
                <w:sz w:val="20"/>
                <w:szCs w:val="20"/>
              </w:rPr>
              <w:lastRenderedPageBreak/>
              <w:t xml:space="preserve">социальную практику»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образования Администрации Валдайского </w:t>
            </w:r>
            <w:r w:rsidRPr="00201A0D">
              <w:rPr>
                <w:rFonts w:ascii="Times New Roman" w:hAnsi="Times New Roman" w:cs="Times New Roman"/>
                <w:sz w:val="20"/>
                <w:szCs w:val="20"/>
              </w:rPr>
              <w:lastRenderedPageBreak/>
              <w:t>муниципального района, Государственное областное казённое учреждение "Центр занятости населения Валдайского района", комитет культуры и туризма Администрации муниципального района, отдел жилищно-коммунального, транспортного и дорожного хозяйства, строительства и энергообеспечения  Администрации муниципального района, комитет по социальным вопросам Администрации Валдайского муниципального района, отдел по физической культуре и спорту Администрации муниципального района, комитет экономического развития Администрации муниципального района</w:t>
            </w:r>
          </w:p>
          <w:p w:rsidR="00201A0D" w:rsidRPr="00201A0D" w:rsidRDefault="00201A0D" w:rsidP="00201A0D">
            <w:pPr>
              <w:spacing w:after="0"/>
              <w:rPr>
                <w:rFonts w:ascii="Times New Roman" w:hAnsi="Times New Roman" w:cs="Times New Roman"/>
                <w:sz w:val="20"/>
                <w:szCs w:val="20"/>
                <w:highlight w:val="yellow"/>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4.4.</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Подпрограмма "Патриотическое воспитание населения Валдайского муниципального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образования Администрации муниципального района, комитет культуры и туризма Администрации муниципального района, комитет экономического развития Администрации муниципального района, отдел по физической культуре и спорту Администрации муниципального района, муниципальное бюджетное учреждение Молодёжный центр "Юность"</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 xml:space="preserve">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образования Администрации Валдайского муниципального района, государственное учреждение Центр занятости населения </w:t>
            </w:r>
            <w:r w:rsidRPr="00201A0D">
              <w:rPr>
                <w:rFonts w:ascii="Times New Roman" w:hAnsi="Times New Roman" w:cs="Times New Roman"/>
                <w:sz w:val="20"/>
                <w:szCs w:val="20"/>
              </w:rPr>
              <w:lastRenderedPageBreak/>
              <w:t>Валдайского района, ГОБУЗ Валдайская центральная районная больница, комитет культуры и туризма Администрации муниципального района, отдел жилищно-коммунального, транспортного и дорожного хозяйства, строительства и энергообеспечения  Администрации муниципального района, комитет по социальным вопросам Администрации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4.6.</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 xml:space="preserve">Подпрограмма «Обеспечение реализации муниципальной программы в области образования и молодежной политики в Валдайском муниципальном районе»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образования Администрации Валдайского муниципального района, муниципальное бюджетное учреждение "Центр обеспечения муниципальной системы образования, муниципальные  образовательные организации, Администрация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"Развитие агропромышленного комплекса Валдайского муниципального района на 2013-2020 годы"</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21.01.2013 № 57</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"Развитие подотрасли животноводства, переработки и реализации продукции животноводства"</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"Развитие подотрасли растениеводства, переработки и реализации продукции растениеводства"</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5.3.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"Поддержка малых форм хозяйствования"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"Развитие мелиорированных земель сельскохозяйственного назначения"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"Развитие сельских территорий"</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"Обеспечение реализации Программы"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p w:rsidR="00201A0D" w:rsidRPr="00201A0D" w:rsidRDefault="00201A0D" w:rsidP="00201A0D">
            <w:pPr>
              <w:spacing w:after="0"/>
              <w:rPr>
                <w:rFonts w:ascii="Times New Roman" w:hAnsi="Times New Roman" w:cs="Times New Roman"/>
                <w:sz w:val="20"/>
                <w:szCs w:val="20"/>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2013-2020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«Обеспечение экономического развития Валдайского района на 2016-2020 годы»</w:t>
            </w:r>
          </w:p>
          <w:p w:rsidR="00201A0D" w:rsidRPr="00201A0D" w:rsidRDefault="00201A0D" w:rsidP="00201A0D">
            <w:pPr>
              <w:spacing w:after="0"/>
              <w:rPr>
                <w:rFonts w:ascii="Times New Roman" w:hAnsi="Times New Roman" w:cs="Times New Roman"/>
                <w:sz w:val="20"/>
                <w:szCs w:val="20"/>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23.11.2015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1748</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экономического развития Администрации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"Развитие торговли в Валдайском районе"</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экономического развития Администрации Валдайского муниципального района, отдел по сельскому хозяйству и продовольствию Валдайского района, администрации сельских поселений</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"Развитие малого и среднего предпринимательства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комитет экономического развития Администрации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Муниципальная программа Валдайского района "Устойчивое развитие сельских территорий Валдайского муниципального района на 2014-2017 годы и на период </w:t>
            </w:r>
            <w:r w:rsidRPr="00201A0D">
              <w:rPr>
                <w:rFonts w:ascii="Times New Roman" w:hAnsi="Times New Roman" w:cs="Times New Roman"/>
                <w:sz w:val="20"/>
                <w:szCs w:val="20"/>
              </w:rPr>
              <w:lastRenderedPageBreak/>
              <w:t>до 2020 года"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02.09.2013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 № 1191</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по сельскому хозяйству и продовольствию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2014-2020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8.</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"Развитие муниципальной службы и местного самоуправления в Валдайском муниципальном районе на 2014-2018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06.09.2013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1237 (в редакции  от 11.07.2016 №1123, от 31.10.2016 № 1700)</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по организационным и общим вопросам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2014-2018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"Увековечивание памяти погибших при защите Отечества на 2015-2017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09.09.2015  №1337</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Администрация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2015-2017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2015-2017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25.09.2015  №1421 (в редакции  от 20.12.2016 № 2080)</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Администрация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2015-2017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"Паспортизация бесхозяйных сетей на территории Валдайского городского поселения в 2016-2018 годах"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25.11.2015  №1770</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Администрация Валдайского муниципального района в лице комитета жилищно-коммунального и дорожного хозяйства Администрация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2016-2018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"Энергосбережение на территории  Валдайского городского поселенияв 2016-2018 годах"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25.11.2015  №1771</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Администрация Валдайского муниципального района в лице комитета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2016-2018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"Предоставление мер социальной поддержки отдельным категориям граждан в Валдайском муниципальном районе (2016-2018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23.09.2015       № 1399</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Муниципальное казённое учреждение комитет по социальным вопросам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2016-2018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Подпрограмма "Предоставление мер </w:t>
            </w:r>
            <w:r w:rsidRPr="00201A0D">
              <w:rPr>
                <w:rFonts w:ascii="Times New Roman" w:hAnsi="Times New Roman" w:cs="Times New Roman"/>
                <w:sz w:val="20"/>
                <w:szCs w:val="20"/>
              </w:rPr>
              <w:lastRenderedPageBreak/>
              <w:t>социальной поддержки отдельным категориям граждан"</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Муниципальное казённое учреждение комитет по </w:t>
            </w:r>
            <w:r w:rsidRPr="00201A0D">
              <w:rPr>
                <w:rFonts w:ascii="Times New Roman" w:hAnsi="Times New Roman" w:cs="Times New Roman"/>
                <w:sz w:val="20"/>
                <w:szCs w:val="20"/>
              </w:rPr>
              <w:lastRenderedPageBreak/>
              <w:t>социальным вопросам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2016-2018 годы</w:t>
            </w:r>
          </w:p>
        </w:tc>
      </w:tr>
      <w:tr w:rsidR="00201A0D" w:rsidRPr="00201A0D" w:rsidTr="00201A0D">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13.2.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"Обеспечение государственного управления в сфере социальной защиты населения области"</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Муниципальное казённое учреждение комитет по социальным вопросам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2016-2018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"Комплексное развитие инфраструктуры водоснабжения и водоотведения в Валдайском городском поселении в 2016-2020 годах"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11.12.2015№ 1915 (в редакции от 07.12.2016 № 1978)</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Администрация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2016-2020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"Комплексные меры по обеспечению законности и противодействию правонарушениям на 2017-2019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Постановление Администрации Валдайского муниципального района от 01.11.2016  № 1739</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 правового регулирования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«Газификация Валдайского городского поселения в 2017-2019 годах»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15.11.2016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1804</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"Отлов безнадзорных животных на территории Валдайского муниципального района в 2017 году"</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15.11.2016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1806</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 год</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"Текущий ремонт муниципальных квартир в доме № 3 по ул. Озёрная д. Ивантеево Валдайского района Новгородской области на 2017 год"</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16.11.2016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1811</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 год</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19.</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"Сохранение и восстановление военно-мемориальных объектов на территории Валдайского городского поселения на 2017-2019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16.11.2016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1812</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"Развитие культуры в Валдайском муниципальном районе (2017-2020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16.11.2016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1814</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культуры и туризма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2017-2020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"Культура Валдайского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муниципальное бюджетное учреждение культуры Валдайская централизованная клубная система, муниципальное бюджетное учреждение культуры "Валдайский Дом народного творчества", муниципальное бюджетное учреждение культуры Автоклуб  "Забава", муниципальное бюджетное учреждение культуры "Межпоселенческая библиотека имени Б.С.Романова Валдайского муниципального района", муниципальное бюджетное  учреждение дополнительного образования  "Валдайская детская школа искусств", комитет по организационным и общим вопросам Администрации муниципального района, комитет экономического развития Администрации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2017-2020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«Обеспечение муниципального управления в сфере культуры Валдайского муниципального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культуры и туризма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2017-2020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"Совершенствование и содержание дорожного хозяйства на территории Валдайского муниципального района на 2017-2019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16.11.2016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1815</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"Содержание  и ремонт автомобильных дорог общего пользования местного значения на территории Валдайского муниципального района за счёт средств областного бюджета и бюджета Валдайского муниципального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"Обеспечение безопасности дорожного движения на территории Валдайского муниципального района за счёт средств  бюджета Валдайского муниципального района"</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информатизации Валдайского муниципального района на 2017-2020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16.11.2016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1816</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экономического развития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2017-2020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"Благоустройство территории Валдайского городского поселения в 2017-2019 годах"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16.11.2016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1817</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года</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"Обеспечение уличного освещения"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года</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23.2.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"Организация озеленения территории Валдайского городского поселения"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года</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23.3.</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"Организация содержания мест захоронения"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года</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23.4.</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"Прочие мероприятия по благоустройству"</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года</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Муниципальная программа "Реализация первичных мер пожарной безопасности на территории Валдайского городского поселения на 2017-2019 годы" </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24.11.2016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1881</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Администрация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"Газификация многоквартирных жилых домов № 1, №3, №5, №6 по ул. Озерная д.Ивантеево Валдайского района Новгородской области на 2017 год"</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24.11.2016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1886</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Администрация Валдайского муниципального района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 год</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"Совершенствование и содержание дорожного хозяйства на территории Валдайского городского поселения на 2017-2019 годы"</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25.11.2016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1915</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26.1.</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"Содержание и ремонт автомобильных дорог общего пользования местного значения на территории Валдайского</w:t>
            </w:r>
            <w:r>
              <w:rPr>
                <w:rFonts w:ascii="Times New Roman" w:hAnsi="Times New Roman" w:cs="Times New Roman"/>
                <w:sz w:val="20"/>
                <w:szCs w:val="20"/>
              </w:rPr>
              <w:t xml:space="preserve"> </w:t>
            </w:r>
            <w:r w:rsidRPr="00201A0D">
              <w:rPr>
                <w:rFonts w:ascii="Times New Roman" w:hAnsi="Times New Roman" w:cs="Times New Roman"/>
                <w:sz w:val="20"/>
                <w:szCs w:val="20"/>
              </w:rPr>
              <w:t>муниципального района за счет средств областного бюджета и бюджета Валдайского</w:t>
            </w:r>
            <w:r>
              <w:rPr>
                <w:rFonts w:ascii="Times New Roman" w:hAnsi="Times New Roman" w:cs="Times New Roman"/>
                <w:sz w:val="20"/>
                <w:szCs w:val="20"/>
              </w:rPr>
              <w:t xml:space="preserve"> </w:t>
            </w:r>
            <w:r w:rsidRPr="00201A0D">
              <w:rPr>
                <w:rFonts w:ascii="Times New Roman" w:hAnsi="Times New Roman" w:cs="Times New Roman"/>
                <w:sz w:val="20"/>
                <w:szCs w:val="20"/>
              </w:rPr>
              <w:t xml:space="preserve">городского </w:t>
            </w:r>
            <w:r w:rsidRPr="00201A0D">
              <w:rPr>
                <w:rFonts w:ascii="Times New Roman" w:hAnsi="Times New Roman" w:cs="Times New Roman"/>
                <w:sz w:val="20"/>
                <w:szCs w:val="20"/>
              </w:rPr>
              <w:lastRenderedPageBreak/>
              <w:t>поселения"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26.2.</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Подпрограмма "Обеспечение безопасности дорожного движения на территории Валдайского городского  поселения за счет средств  бюджета Валдайского</w:t>
            </w:r>
            <w:r>
              <w:rPr>
                <w:rFonts w:ascii="Times New Roman" w:hAnsi="Times New Roman" w:cs="Times New Roman"/>
                <w:sz w:val="20"/>
                <w:szCs w:val="20"/>
              </w:rPr>
              <w:t xml:space="preserve"> </w:t>
            </w:r>
            <w:r w:rsidRPr="00201A0D">
              <w:rPr>
                <w:rFonts w:ascii="Times New Roman" w:hAnsi="Times New Roman" w:cs="Times New Roman"/>
                <w:sz w:val="20"/>
                <w:szCs w:val="20"/>
              </w:rPr>
              <w:t>городского поселения"</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r w:rsidR="00201A0D" w:rsidRPr="00201A0D" w:rsidTr="00201A0D">
        <w:trPr>
          <w:trHeight w:val="170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w:t>
            </w:r>
          </w:p>
        </w:tc>
        <w:tc>
          <w:tcPr>
            <w:tcW w:w="294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Муниципальная программа  «Обеспечение населения Валдайского муниципального района питьевой водой в 2017-2019 годах»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Постановление Администрации Валдайского муниципального района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23.12.2016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2100</w:t>
            </w:r>
          </w:p>
        </w:tc>
        <w:tc>
          <w:tcPr>
            <w:tcW w:w="3049"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Комитет жилищно-коммунального и дорожного хозяйства Администрации Валдайского муниципального района</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2017-2019 годы</w:t>
            </w:r>
          </w:p>
        </w:tc>
      </w:tr>
    </w:tbl>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Таблица 2.1.4.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По данным официального сайта Едровского сельского поселения (http://edrovoadm.ru/utverzhdennye-programmy.html) на территории поселения действуют следующие программы: </w:t>
      </w:r>
    </w:p>
    <w:p w:rsidR="00201A0D" w:rsidRPr="00201A0D" w:rsidRDefault="00515F88" w:rsidP="00201A0D">
      <w:pPr>
        <w:spacing w:after="0"/>
        <w:jc w:val="both"/>
        <w:rPr>
          <w:rFonts w:ascii="Times New Roman" w:hAnsi="Times New Roman" w:cs="Times New Roman"/>
          <w:sz w:val="20"/>
          <w:szCs w:val="20"/>
        </w:rPr>
      </w:pPr>
      <w:hyperlink r:id="rId6" w:history="1">
        <w:r w:rsidR="00201A0D" w:rsidRPr="00201A0D">
          <w:rPr>
            <w:rFonts w:ascii="Times New Roman" w:hAnsi="Times New Roman" w:cs="Times New Roman"/>
            <w:sz w:val="20"/>
            <w:szCs w:val="20"/>
          </w:rPr>
          <w:t>Постановление от 26.12.2017 №244 О внесении изменений в муниципальную программу «Повышение эффективности бюджетных расходов Едровского сельского поселения на 2017-2019 годы»</w:t>
        </w:r>
      </w:hyperlink>
    </w:p>
    <w:p w:rsidR="00201A0D" w:rsidRPr="00201A0D" w:rsidRDefault="00515F88" w:rsidP="00201A0D">
      <w:pPr>
        <w:spacing w:after="0"/>
        <w:jc w:val="both"/>
        <w:rPr>
          <w:rFonts w:ascii="Times New Roman" w:hAnsi="Times New Roman" w:cs="Times New Roman"/>
          <w:sz w:val="20"/>
          <w:szCs w:val="20"/>
        </w:rPr>
      </w:pPr>
      <w:hyperlink r:id="rId7" w:history="1">
        <w:r w:rsidR="00201A0D" w:rsidRPr="00201A0D">
          <w:rPr>
            <w:rFonts w:ascii="Times New Roman" w:hAnsi="Times New Roman" w:cs="Times New Roman"/>
            <w:sz w:val="20"/>
            <w:szCs w:val="20"/>
          </w:rPr>
          <w:t>Постановление от 26.12.2017 №243 О внесении изменений в постановление от 03.11.2016 №224 «Об утверждении Программы «Реформирование и развитие муниципальной службы в Едровском сельском поселении на 2017-2019 годы»»</w:t>
        </w:r>
      </w:hyperlink>
    </w:p>
    <w:p w:rsidR="00201A0D" w:rsidRPr="00201A0D" w:rsidRDefault="00515F88" w:rsidP="00201A0D">
      <w:pPr>
        <w:spacing w:after="0"/>
        <w:jc w:val="both"/>
        <w:rPr>
          <w:rFonts w:ascii="Times New Roman" w:hAnsi="Times New Roman" w:cs="Times New Roman"/>
          <w:sz w:val="20"/>
          <w:szCs w:val="20"/>
        </w:rPr>
      </w:pPr>
      <w:hyperlink r:id="rId8" w:history="1">
        <w:r w:rsidR="00201A0D" w:rsidRPr="00201A0D">
          <w:rPr>
            <w:rFonts w:ascii="Times New Roman" w:hAnsi="Times New Roman" w:cs="Times New Roman"/>
            <w:sz w:val="20"/>
            <w:szCs w:val="20"/>
          </w:rPr>
          <w:t>Постановление от 26.12.2017 №242 О внесении изменений в постановление от 22.12.2016 №174 «Об утверждении муниципальной программы «Развитие малого и среднего предпринимательства в Едровском сельском поселении на 2016-2018 годы»</w:t>
        </w:r>
      </w:hyperlink>
    </w:p>
    <w:p w:rsidR="00201A0D" w:rsidRPr="00201A0D" w:rsidRDefault="00515F88" w:rsidP="00201A0D">
      <w:pPr>
        <w:spacing w:after="0"/>
        <w:jc w:val="both"/>
        <w:rPr>
          <w:rFonts w:ascii="Times New Roman" w:hAnsi="Times New Roman" w:cs="Times New Roman"/>
          <w:sz w:val="20"/>
          <w:szCs w:val="20"/>
        </w:rPr>
      </w:pPr>
      <w:hyperlink r:id="rId9" w:history="1">
        <w:r w:rsidR="00201A0D" w:rsidRPr="00201A0D">
          <w:rPr>
            <w:rFonts w:ascii="Times New Roman" w:hAnsi="Times New Roman" w:cs="Times New Roman"/>
            <w:sz w:val="20"/>
            <w:szCs w:val="20"/>
          </w:rPr>
          <w:t>Постановление от 26.12.2017 №241 О внесении изменений в Постановление от 03.11.2017 № 223 «Об утверждении Муниципальной программы «Информатизация Едровского сельского поселения на 2017 год»</w:t>
        </w:r>
      </w:hyperlink>
    </w:p>
    <w:p w:rsidR="00201A0D" w:rsidRPr="00201A0D" w:rsidRDefault="00515F88" w:rsidP="00201A0D">
      <w:pPr>
        <w:spacing w:after="0"/>
        <w:jc w:val="both"/>
        <w:rPr>
          <w:rFonts w:ascii="Times New Roman" w:hAnsi="Times New Roman" w:cs="Times New Roman"/>
          <w:sz w:val="20"/>
          <w:szCs w:val="20"/>
        </w:rPr>
      </w:pPr>
      <w:hyperlink r:id="rId10" w:history="1">
        <w:r w:rsidR="00201A0D" w:rsidRPr="00201A0D">
          <w:rPr>
            <w:rFonts w:ascii="Times New Roman" w:hAnsi="Times New Roman" w:cs="Times New Roman"/>
            <w:sz w:val="20"/>
            <w:szCs w:val="20"/>
          </w:rPr>
          <w:t>Постановление от 26.12.2017 №240 О внесении изменений в муниципальную программу «Совершенствование и содержание дорожного хозяйства на территории Едровского сельского поселения на 2015-2017 годы»</w:t>
        </w:r>
      </w:hyperlink>
    </w:p>
    <w:p w:rsidR="00201A0D" w:rsidRPr="00201A0D" w:rsidRDefault="00515F88" w:rsidP="00201A0D">
      <w:pPr>
        <w:spacing w:after="0"/>
        <w:jc w:val="both"/>
        <w:rPr>
          <w:rFonts w:ascii="Times New Roman" w:hAnsi="Times New Roman" w:cs="Times New Roman"/>
          <w:sz w:val="20"/>
          <w:szCs w:val="20"/>
        </w:rPr>
      </w:pPr>
      <w:hyperlink r:id="rId11" w:tooltip="Постановление от 15.11.2017 №206 Об утверждении муниципальной Программы " w:history="1">
        <w:r w:rsidR="00201A0D" w:rsidRPr="00201A0D">
          <w:rPr>
            <w:rFonts w:ascii="Times New Roman" w:hAnsi="Times New Roman" w:cs="Times New Roman"/>
            <w:sz w:val="20"/>
            <w:szCs w:val="20"/>
          </w:rPr>
          <w:t>Постановление от 15.11.2017 №206 Об утверждении муниципальной Программы «Комплексное развитие социальной инфраструктуры Едровского сельского поселения на 2018-2027 годы»</w:t>
        </w:r>
      </w:hyperlink>
    </w:p>
    <w:p w:rsidR="00201A0D" w:rsidRPr="00201A0D" w:rsidRDefault="00515F88" w:rsidP="00201A0D">
      <w:pPr>
        <w:spacing w:after="0"/>
        <w:jc w:val="both"/>
        <w:rPr>
          <w:rFonts w:ascii="Times New Roman" w:hAnsi="Times New Roman" w:cs="Times New Roman"/>
          <w:sz w:val="20"/>
          <w:szCs w:val="20"/>
        </w:rPr>
      </w:pPr>
      <w:hyperlink r:id="rId12" w:history="1">
        <w:r w:rsidR="00201A0D" w:rsidRPr="00201A0D">
          <w:rPr>
            <w:rFonts w:ascii="Times New Roman" w:hAnsi="Times New Roman" w:cs="Times New Roman"/>
            <w:sz w:val="20"/>
            <w:szCs w:val="20"/>
          </w:rPr>
          <w:t>Постановление от 14.11.2017 №202 Об утверждении муниципальной программы «Совершенствование и содержание дорожного хозяйства на территории Едровского сельского поселения на 2018-2020 годы»</w:t>
        </w:r>
      </w:hyperlink>
    </w:p>
    <w:p w:rsidR="00201A0D" w:rsidRPr="00201A0D" w:rsidRDefault="00515F88" w:rsidP="00201A0D">
      <w:pPr>
        <w:spacing w:after="0"/>
        <w:jc w:val="both"/>
        <w:rPr>
          <w:rFonts w:ascii="Times New Roman" w:hAnsi="Times New Roman" w:cs="Times New Roman"/>
          <w:sz w:val="20"/>
          <w:szCs w:val="20"/>
        </w:rPr>
      </w:pPr>
      <w:hyperlink r:id="rId13" w:history="1">
        <w:r w:rsidR="00201A0D" w:rsidRPr="00201A0D">
          <w:rPr>
            <w:rFonts w:ascii="Times New Roman" w:hAnsi="Times New Roman" w:cs="Times New Roman"/>
            <w:sz w:val="20"/>
            <w:szCs w:val="20"/>
          </w:rPr>
          <w:t>Постановление от 14.11.2017 №200 Об утверждении муниципальной программы «Информатизация Едровского сельского поселения на 2018 год»</w:t>
        </w:r>
      </w:hyperlink>
    </w:p>
    <w:p w:rsidR="00201A0D" w:rsidRPr="00201A0D" w:rsidRDefault="00515F88" w:rsidP="00201A0D">
      <w:pPr>
        <w:spacing w:after="0"/>
        <w:jc w:val="both"/>
        <w:rPr>
          <w:rFonts w:ascii="Times New Roman" w:hAnsi="Times New Roman" w:cs="Times New Roman"/>
          <w:sz w:val="20"/>
          <w:szCs w:val="20"/>
        </w:rPr>
      </w:pPr>
      <w:hyperlink r:id="rId14" w:tooltip="Постановление от 23.10.2017 №177 Об утверждении программы комплексного развития систем коммунальной инфраструктуры Едровского сельского поселения на 2018 – 2027 годы" w:history="1">
        <w:r w:rsidR="00201A0D" w:rsidRPr="00201A0D">
          <w:rPr>
            <w:rFonts w:ascii="Times New Roman" w:hAnsi="Times New Roman" w:cs="Times New Roman"/>
            <w:sz w:val="20"/>
            <w:szCs w:val="20"/>
          </w:rPr>
          <w:t>Постановление от 23.10.2017 №177 Об утверждении программы комплексного развития систем коммунальной инфраструктуры Едровского сельского поселения на 2018 – 2027 годы</w:t>
        </w:r>
      </w:hyperlink>
    </w:p>
    <w:p w:rsidR="00201A0D" w:rsidRPr="00201A0D" w:rsidRDefault="00515F88" w:rsidP="00201A0D">
      <w:pPr>
        <w:spacing w:after="0"/>
        <w:jc w:val="both"/>
        <w:rPr>
          <w:rFonts w:ascii="Times New Roman" w:hAnsi="Times New Roman" w:cs="Times New Roman"/>
          <w:sz w:val="20"/>
          <w:szCs w:val="20"/>
        </w:rPr>
      </w:pPr>
      <w:hyperlink r:id="rId15" w:tooltip="Постановление от 23.10.2017 №176 Об утверждении Программы комплексного развития транспортной инфраструктуры Едровского сельского поселения на 2018 – 2027 годы" w:history="1">
        <w:r w:rsidR="00201A0D" w:rsidRPr="00201A0D">
          <w:rPr>
            <w:rFonts w:ascii="Times New Roman" w:hAnsi="Times New Roman" w:cs="Times New Roman"/>
            <w:sz w:val="20"/>
            <w:szCs w:val="20"/>
          </w:rPr>
          <w:t>Постановление от 23.10.2017 №176 Об утверждении Программы комплексного развития транспортной инфраструктуры Едровского сельского поселения на 2018 – 2027 годы</w:t>
        </w:r>
      </w:hyperlink>
    </w:p>
    <w:p w:rsidR="00201A0D" w:rsidRPr="00201A0D" w:rsidRDefault="00515F88" w:rsidP="00201A0D">
      <w:pPr>
        <w:spacing w:after="0"/>
        <w:jc w:val="both"/>
        <w:rPr>
          <w:rFonts w:ascii="Times New Roman" w:hAnsi="Times New Roman" w:cs="Times New Roman"/>
          <w:sz w:val="20"/>
          <w:szCs w:val="20"/>
        </w:rPr>
      </w:pPr>
      <w:hyperlink r:id="rId16" w:tooltip="Постановление от 07.06.2017 № 73 О внесении изменений в программу " w:history="1">
        <w:r w:rsidR="00201A0D" w:rsidRPr="00201A0D">
          <w:rPr>
            <w:rFonts w:ascii="Times New Roman" w:hAnsi="Times New Roman" w:cs="Times New Roman"/>
            <w:sz w:val="20"/>
            <w:szCs w:val="20"/>
          </w:rPr>
          <w:t>Постановление от 07.06.2017 № 73 О внесении изменений в программу «Реформирование и развитие муниципальной службы в Едровском сельском поселении на 2017-2019 годы»</w:t>
        </w:r>
      </w:hyperlink>
    </w:p>
    <w:p w:rsidR="00201A0D" w:rsidRPr="00201A0D" w:rsidRDefault="00515F88" w:rsidP="00201A0D">
      <w:pPr>
        <w:spacing w:after="0"/>
        <w:jc w:val="both"/>
        <w:rPr>
          <w:rFonts w:ascii="Times New Roman" w:hAnsi="Times New Roman" w:cs="Times New Roman"/>
          <w:sz w:val="20"/>
          <w:szCs w:val="20"/>
        </w:rPr>
      </w:pPr>
      <w:hyperlink r:id="rId17" w:tooltip="Постановление от 07.06.2017 № 72 О внесении изменений в муниципальную программу " w:history="1">
        <w:r w:rsidR="00201A0D" w:rsidRPr="00201A0D">
          <w:rPr>
            <w:rFonts w:ascii="Times New Roman" w:hAnsi="Times New Roman" w:cs="Times New Roman"/>
            <w:sz w:val="20"/>
            <w:szCs w:val="20"/>
          </w:rPr>
          <w:t>Постановление от 07.06.2017 № 72 О внесении изменений в муниципальную программу «Совершенствование и содержание дорожного хозяйства на территории Едровского сельского поселения на 2015-2017 годы»</w:t>
        </w:r>
      </w:hyperlink>
    </w:p>
    <w:p w:rsidR="00201A0D" w:rsidRPr="00201A0D" w:rsidRDefault="00515F88" w:rsidP="00201A0D">
      <w:pPr>
        <w:spacing w:after="0"/>
        <w:jc w:val="both"/>
        <w:rPr>
          <w:rFonts w:ascii="Times New Roman" w:hAnsi="Times New Roman" w:cs="Times New Roman"/>
          <w:sz w:val="20"/>
          <w:szCs w:val="20"/>
        </w:rPr>
      </w:pPr>
      <w:hyperlink r:id="rId18" w:tooltip="Постановление от 07.06.2017 № 71 О внесении изменений в муниципальную программу " w:history="1">
        <w:r w:rsidR="00201A0D" w:rsidRPr="00201A0D">
          <w:rPr>
            <w:rFonts w:ascii="Times New Roman" w:hAnsi="Times New Roman" w:cs="Times New Roman"/>
            <w:sz w:val="20"/>
            <w:szCs w:val="20"/>
          </w:rPr>
          <w:t>Постановление от 07.06.2017 № 71 О внесении изменений в муниципальную программу «Повышение эффективности бюджетных расходов Едровского сельского поселения на 2017-2019 годы»</w:t>
        </w:r>
      </w:hyperlink>
    </w:p>
    <w:p w:rsidR="00201A0D" w:rsidRPr="00201A0D" w:rsidRDefault="00515F88" w:rsidP="00201A0D">
      <w:pPr>
        <w:spacing w:after="0"/>
        <w:jc w:val="both"/>
        <w:rPr>
          <w:rFonts w:ascii="Times New Roman" w:hAnsi="Times New Roman" w:cs="Times New Roman"/>
          <w:sz w:val="20"/>
          <w:szCs w:val="20"/>
        </w:rPr>
      </w:pPr>
      <w:hyperlink r:id="rId19" w:history="1">
        <w:r w:rsidR="00201A0D" w:rsidRPr="00201A0D">
          <w:rPr>
            <w:rFonts w:ascii="Times New Roman" w:hAnsi="Times New Roman" w:cs="Times New Roman"/>
            <w:sz w:val="20"/>
            <w:szCs w:val="20"/>
          </w:rPr>
          <w:t>Постановление от 25.11.2016 № 242 Об утверждении муниципальной программы «Профилактика правонарушений в Едровском сельском поселении на 2017-2019 годы»</w:t>
        </w:r>
      </w:hyperlink>
    </w:p>
    <w:p w:rsidR="00201A0D" w:rsidRPr="00201A0D" w:rsidRDefault="00515F88" w:rsidP="00201A0D">
      <w:pPr>
        <w:spacing w:after="0"/>
        <w:jc w:val="both"/>
        <w:rPr>
          <w:rFonts w:ascii="Times New Roman" w:hAnsi="Times New Roman" w:cs="Times New Roman"/>
          <w:sz w:val="20"/>
          <w:szCs w:val="20"/>
        </w:rPr>
      </w:pPr>
      <w:hyperlink r:id="rId20" w:history="1">
        <w:r w:rsidR="00201A0D" w:rsidRPr="00201A0D">
          <w:rPr>
            <w:rFonts w:ascii="Times New Roman" w:hAnsi="Times New Roman" w:cs="Times New Roman"/>
            <w:sz w:val="20"/>
            <w:szCs w:val="20"/>
          </w:rPr>
          <w:t>Постановление от 29.08.2016 № 165 Об утверждении Муниципальной программы «Энергосбережение и повышение энергетической эффективности в Едровском сельском поселении на 2016-2018 годы»</w:t>
        </w:r>
      </w:hyperlink>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bookmarkStart w:id="8" w:name="_Toc347315728"/>
      <w:bookmarkStart w:id="9" w:name="_Toc363654766"/>
      <w:bookmarkStart w:id="10" w:name="_Toc433382409"/>
      <w:r w:rsidRPr="00201A0D">
        <w:rPr>
          <w:rFonts w:ascii="Times New Roman" w:hAnsi="Times New Roman" w:cs="Times New Roman"/>
          <w:sz w:val="20"/>
          <w:szCs w:val="20"/>
        </w:rPr>
        <w:t>2. Обоснование размещения объектов местного значения</w:t>
      </w:r>
      <w:bookmarkEnd w:id="8"/>
      <w:bookmarkEnd w:id="9"/>
      <w:r w:rsidRPr="00201A0D">
        <w:rPr>
          <w:rFonts w:ascii="Times New Roman" w:hAnsi="Times New Roman" w:cs="Times New Roman"/>
          <w:sz w:val="20"/>
          <w:szCs w:val="20"/>
        </w:rPr>
        <w:t>.</w:t>
      </w:r>
      <w:bookmarkEnd w:id="10"/>
    </w:p>
    <w:p w:rsidR="00201A0D" w:rsidRPr="00201A0D" w:rsidRDefault="00201A0D" w:rsidP="00201A0D">
      <w:pPr>
        <w:spacing w:after="0"/>
        <w:jc w:val="both"/>
        <w:rPr>
          <w:rFonts w:ascii="Times New Roman" w:hAnsi="Times New Roman" w:cs="Times New Roman"/>
          <w:sz w:val="20"/>
          <w:szCs w:val="20"/>
        </w:rPr>
      </w:pPr>
      <w:bookmarkStart w:id="11" w:name="_Toc363654767"/>
      <w:bookmarkStart w:id="12" w:name="_Toc433382410"/>
      <w:r w:rsidRPr="00201A0D">
        <w:rPr>
          <w:rFonts w:ascii="Times New Roman" w:hAnsi="Times New Roman" w:cs="Times New Roman"/>
          <w:sz w:val="20"/>
          <w:szCs w:val="20"/>
        </w:rPr>
        <w:t>2.1. Анализ использования территорий поселения</w:t>
      </w:r>
      <w:bookmarkEnd w:id="11"/>
      <w:r w:rsidRPr="00201A0D">
        <w:rPr>
          <w:rFonts w:ascii="Times New Roman" w:hAnsi="Times New Roman" w:cs="Times New Roman"/>
          <w:sz w:val="20"/>
          <w:szCs w:val="20"/>
        </w:rPr>
        <w:t>.</w:t>
      </w:r>
      <w:bookmarkEnd w:id="12"/>
    </w:p>
    <w:p w:rsidR="00201A0D" w:rsidRPr="00201A0D" w:rsidRDefault="00201A0D" w:rsidP="00201A0D">
      <w:pPr>
        <w:spacing w:after="0"/>
        <w:jc w:val="both"/>
        <w:rPr>
          <w:rFonts w:ascii="Times New Roman" w:hAnsi="Times New Roman" w:cs="Times New Roman"/>
          <w:sz w:val="20"/>
          <w:szCs w:val="20"/>
        </w:rPr>
      </w:pPr>
      <w:bookmarkStart w:id="13" w:name="_Toc433382411"/>
      <w:r w:rsidRPr="00201A0D">
        <w:rPr>
          <w:rFonts w:ascii="Times New Roman" w:hAnsi="Times New Roman" w:cs="Times New Roman"/>
          <w:sz w:val="20"/>
          <w:szCs w:val="20"/>
        </w:rPr>
        <w:t>Географическое положение.</w:t>
      </w:r>
      <w:bookmarkEnd w:id="13"/>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Едровское сельское поселение (СП) – муниципальное образование в Валдайском муниципальном районе (МР) Новгородской области.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поселения – 53 650,83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Располагается к востоку от территории областного центра г. Великий Новгород.</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Граница Едровского СП проходит: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севере - от места впадения реки Чернушка в озеро Плотишно по границе кварталов 23, 24 ГУ "Национальный парк "Валдайский", по границе кварталов 7, 8 Едровского лесничества ФГУ "Валдайский лесхоз";</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востоке - по административно-территориальной границе Тверской области;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юге - по административно-территориальной границе Демянского района до реки Водопай;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 западе - по руслу реки Водопай, по границе кварталов 122, 123 Небылицкого лесничества ФГУ "Валдайский лесхоз", по автодороге на д. </w:t>
      </w:r>
      <w:smartTag w:uri="urn:schemas-microsoft-com:office:smarttags" w:element="PersonName">
        <w:r w:rsidRPr="00201A0D">
          <w:rPr>
            <w:rFonts w:ascii="Times New Roman" w:hAnsi="Times New Roman" w:cs="Times New Roman"/>
            <w:sz w:val="20"/>
            <w:szCs w:val="20"/>
          </w:rPr>
          <w:t>Я</w:t>
        </w:r>
      </w:smartTag>
      <w:r w:rsidRPr="00201A0D">
        <w:rPr>
          <w:rFonts w:ascii="Times New Roman" w:hAnsi="Times New Roman" w:cs="Times New Roman"/>
          <w:sz w:val="20"/>
          <w:szCs w:val="20"/>
        </w:rPr>
        <w:t>коново, по границе кварталов 126, 127 Небылицкого лесничества ФГУ "Валдайский лесхоз", по границе кварталов 199, 211, 200 Валдайского сельского лесхоза АОЗТ "Едрово", по границе кварталов 117, 118, 119, 120, 116, 113 Небылицкого лесничества ФГУ "Валдайский лесхоз", по оси дороги на ур. Родово, по границе кварталов 87, 77 Небылицкого лесничества ФГУ "Валдайский лесхоз", по руслам рек Березайка и Колотовка, по автодороге на д. Рядчино, по оси дороги на д. Харитониха, по руслу реки Кобылка, по автодороге на д. Добывалово до пересечения с автодорогой на д. Наволок, по реке Чернушка до впадения ее в озеро Плотишно.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состав Едровского СП входит 26 населенных пунктов.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Административным центром поселения является с. Едрово.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населения Едровского СП на 01.01.2011 – 2074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Новгородская область – субъект </w:t>
      </w:r>
      <w:hyperlink r:id="rId21" w:tooltip="Россия" w:history="1">
        <w:r w:rsidRPr="00201A0D">
          <w:rPr>
            <w:rFonts w:ascii="Times New Roman" w:hAnsi="Times New Roman" w:cs="Times New Roman"/>
            <w:sz w:val="20"/>
            <w:szCs w:val="20"/>
          </w:rPr>
          <w:t>Российской Федерации</w:t>
        </w:r>
      </w:hyperlink>
      <w:r w:rsidRPr="00201A0D">
        <w:rPr>
          <w:rFonts w:ascii="Times New Roman" w:hAnsi="Times New Roman" w:cs="Times New Roman"/>
          <w:sz w:val="20"/>
          <w:szCs w:val="20"/>
        </w:rPr>
        <w:t xml:space="preserve">, расположенный на северо-западе европейской части страны. Область входит в состав </w:t>
      </w:r>
      <w:hyperlink r:id="rId22" w:tooltip="Северо-Западный федеральный округ" w:history="1">
        <w:r w:rsidRPr="00201A0D">
          <w:rPr>
            <w:rFonts w:ascii="Times New Roman" w:hAnsi="Times New Roman" w:cs="Times New Roman"/>
            <w:sz w:val="20"/>
            <w:szCs w:val="20"/>
          </w:rPr>
          <w:t>Северо-Западного федерального округа</w:t>
        </w:r>
      </w:hyperlink>
      <w:r w:rsidRPr="00201A0D">
        <w:rPr>
          <w:rFonts w:ascii="Times New Roman" w:hAnsi="Times New Roman" w:cs="Times New Roman"/>
          <w:sz w:val="20"/>
          <w:szCs w:val="20"/>
        </w:rPr>
        <w:t xml:space="preserve">. </w:t>
      </w:r>
      <w:hyperlink r:id="rId23" w:tooltip="Административный центр" w:history="1">
        <w:r w:rsidRPr="00201A0D">
          <w:rPr>
            <w:rFonts w:ascii="Times New Roman" w:hAnsi="Times New Roman" w:cs="Times New Roman"/>
            <w:sz w:val="20"/>
            <w:szCs w:val="20"/>
          </w:rPr>
          <w:t>Административный центр</w:t>
        </w:r>
      </w:hyperlink>
      <w:r w:rsidRPr="00201A0D">
        <w:rPr>
          <w:rFonts w:ascii="Times New Roman" w:hAnsi="Times New Roman" w:cs="Times New Roman"/>
          <w:sz w:val="20"/>
          <w:szCs w:val="20"/>
        </w:rPr>
        <w:t xml:space="preserve"> - город </w:t>
      </w:r>
      <w:hyperlink r:id="rId24" w:tooltip="Великий Новгород" w:history="1">
        <w:r w:rsidRPr="00201A0D">
          <w:rPr>
            <w:rFonts w:ascii="Times New Roman" w:hAnsi="Times New Roman" w:cs="Times New Roman"/>
            <w:sz w:val="20"/>
            <w:szCs w:val="20"/>
          </w:rPr>
          <w:t>Великий Новгород</w:t>
        </w:r>
      </w:hyperlink>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Площадь территории области по размеру - шестая, из семи областей в Северо-Западном федеральном округе и составляет 54 501 км². Постоянное население области на </w:t>
      </w:r>
      <w:hyperlink r:id="rId25" w:tooltip="1 января" w:history="1">
        <w:r w:rsidRPr="00201A0D">
          <w:rPr>
            <w:rFonts w:ascii="Times New Roman" w:hAnsi="Times New Roman" w:cs="Times New Roman"/>
            <w:sz w:val="20"/>
            <w:szCs w:val="20"/>
          </w:rPr>
          <w:t>1 января</w:t>
        </w:r>
      </w:hyperlink>
      <w:r w:rsidRPr="00201A0D">
        <w:rPr>
          <w:rFonts w:ascii="Times New Roman" w:hAnsi="Times New Roman" w:cs="Times New Roman"/>
          <w:sz w:val="20"/>
          <w:szCs w:val="20"/>
        </w:rPr>
        <w:t xml:space="preserve"> </w:t>
      </w:r>
      <w:hyperlink r:id="rId26" w:tooltip="2008 год" w:history="1">
        <w:r w:rsidRPr="00201A0D">
          <w:rPr>
            <w:rFonts w:ascii="Times New Roman" w:hAnsi="Times New Roman" w:cs="Times New Roman"/>
            <w:sz w:val="20"/>
            <w:szCs w:val="20"/>
          </w:rPr>
          <w:t>2013 года</w:t>
        </w:r>
      </w:hyperlink>
      <w:r w:rsidRPr="00201A0D">
        <w:rPr>
          <w:rFonts w:ascii="Times New Roman" w:hAnsi="Times New Roman" w:cs="Times New Roman"/>
          <w:sz w:val="20"/>
          <w:szCs w:val="20"/>
        </w:rPr>
        <w:t xml:space="preserve"> - 625,855 тыс. жителей.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Область расположена на северо-западе Европейской части России. Большая часть территории - плоская, местами заболоченная </w:t>
      </w:r>
      <w:hyperlink r:id="rId27" w:tooltip="Приильменская низменность (страница отсутствует)" w:history="1">
        <w:r w:rsidRPr="00201A0D">
          <w:rPr>
            <w:rFonts w:ascii="Times New Roman" w:hAnsi="Times New Roman" w:cs="Times New Roman"/>
            <w:sz w:val="20"/>
            <w:szCs w:val="20"/>
          </w:rPr>
          <w:t>Приильменская низменность</w:t>
        </w:r>
      </w:hyperlink>
      <w:r w:rsidRPr="00201A0D">
        <w:rPr>
          <w:rFonts w:ascii="Times New Roman" w:hAnsi="Times New Roman" w:cs="Times New Roman"/>
          <w:sz w:val="20"/>
          <w:szCs w:val="20"/>
        </w:rPr>
        <w:t xml:space="preserve">. На юго-востоке - холмисто-мореная </w:t>
      </w:r>
      <w:hyperlink r:id="rId28" w:tooltip="Валдайская возвышенность" w:history="1">
        <w:r w:rsidRPr="00201A0D">
          <w:rPr>
            <w:rFonts w:ascii="Times New Roman" w:hAnsi="Times New Roman" w:cs="Times New Roman"/>
            <w:sz w:val="20"/>
            <w:szCs w:val="20"/>
          </w:rPr>
          <w:t>Валдайская возвышенность</w:t>
        </w:r>
      </w:hyperlink>
      <w:r w:rsidRPr="00201A0D">
        <w:rPr>
          <w:rFonts w:ascii="Times New Roman" w:hAnsi="Times New Roman" w:cs="Times New Roman"/>
          <w:sz w:val="20"/>
          <w:szCs w:val="20"/>
        </w:rPr>
        <w:t xml:space="preserve"> (высота до 299 м), на северо-востоке - </w:t>
      </w:r>
      <w:hyperlink r:id="rId29" w:tooltip="Тихвинская холмисто-моренная гряда (страница отсутствует)" w:history="1">
        <w:r w:rsidRPr="00201A0D">
          <w:rPr>
            <w:rFonts w:ascii="Times New Roman" w:hAnsi="Times New Roman" w:cs="Times New Roman"/>
            <w:sz w:val="20"/>
            <w:szCs w:val="20"/>
          </w:rPr>
          <w:t>Тихвинская холмисто-моренная гряда</w:t>
        </w:r>
      </w:hyperlink>
      <w:r w:rsidRPr="00201A0D">
        <w:rPr>
          <w:rFonts w:ascii="Times New Roman" w:hAnsi="Times New Roman" w:cs="Times New Roman"/>
          <w:sz w:val="20"/>
          <w:szCs w:val="20"/>
        </w:rPr>
        <w:t xml:space="preserve">. В Новгородской области есть крупные реки: </w:t>
      </w:r>
      <w:hyperlink r:id="rId30" w:tooltip="Волхов (река)" w:history="1">
        <w:r w:rsidRPr="00201A0D">
          <w:rPr>
            <w:rFonts w:ascii="Times New Roman" w:hAnsi="Times New Roman" w:cs="Times New Roman"/>
            <w:sz w:val="20"/>
            <w:szCs w:val="20"/>
          </w:rPr>
          <w:t>Волхов</w:t>
        </w:r>
      </w:hyperlink>
      <w:r w:rsidRPr="00201A0D">
        <w:rPr>
          <w:rFonts w:ascii="Times New Roman" w:hAnsi="Times New Roman" w:cs="Times New Roman"/>
          <w:sz w:val="20"/>
          <w:szCs w:val="20"/>
        </w:rPr>
        <w:t xml:space="preserve">, </w:t>
      </w:r>
      <w:hyperlink r:id="rId31" w:tooltip="Мста (река)" w:history="1">
        <w:r w:rsidRPr="00201A0D">
          <w:rPr>
            <w:rFonts w:ascii="Times New Roman" w:hAnsi="Times New Roman" w:cs="Times New Roman"/>
            <w:sz w:val="20"/>
            <w:szCs w:val="20"/>
          </w:rPr>
          <w:t>Мста</w:t>
        </w:r>
      </w:hyperlink>
      <w:r w:rsidRPr="00201A0D">
        <w:rPr>
          <w:rFonts w:ascii="Times New Roman" w:hAnsi="Times New Roman" w:cs="Times New Roman"/>
          <w:sz w:val="20"/>
          <w:szCs w:val="20"/>
        </w:rPr>
        <w:t xml:space="preserve">, </w:t>
      </w:r>
      <w:hyperlink r:id="rId32" w:tooltip="Ловать (река)" w:history="1">
        <w:r w:rsidRPr="00201A0D">
          <w:rPr>
            <w:rFonts w:ascii="Times New Roman" w:hAnsi="Times New Roman" w:cs="Times New Roman"/>
            <w:sz w:val="20"/>
            <w:szCs w:val="20"/>
          </w:rPr>
          <w:t>Ловать</w:t>
        </w:r>
      </w:hyperlink>
      <w:r w:rsidRPr="00201A0D">
        <w:rPr>
          <w:rFonts w:ascii="Times New Roman" w:hAnsi="Times New Roman" w:cs="Times New Roman"/>
          <w:sz w:val="20"/>
          <w:szCs w:val="20"/>
        </w:rPr>
        <w:t xml:space="preserve">, </w:t>
      </w:r>
      <w:hyperlink r:id="rId33" w:tooltip="Шелонь (река)" w:history="1">
        <w:r w:rsidRPr="00201A0D">
          <w:rPr>
            <w:rFonts w:ascii="Times New Roman" w:hAnsi="Times New Roman" w:cs="Times New Roman"/>
            <w:sz w:val="20"/>
            <w:szCs w:val="20"/>
          </w:rPr>
          <w:t>Шелонь</w:t>
        </w:r>
      </w:hyperlink>
      <w:r w:rsidRPr="00201A0D">
        <w:rPr>
          <w:rFonts w:ascii="Times New Roman" w:hAnsi="Times New Roman" w:cs="Times New Roman"/>
          <w:sz w:val="20"/>
          <w:szCs w:val="20"/>
        </w:rPr>
        <w:t xml:space="preserve">, </w:t>
      </w:r>
      <w:hyperlink r:id="rId34" w:tooltip="Полисть (приток Ловати)" w:history="1">
        <w:r w:rsidRPr="00201A0D">
          <w:rPr>
            <w:rFonts w:ascii="Times New Roman" w:hAnsi="Times New Roman" w:cs="Times New Roman"/>
            <w:sz w:val="20"/>
            <w:szCs w:val="20"/>
          </w:rPr>
          <w:t>Полисть</w:t>
        </w:r>
      </w:hyperlink>
      <w:r w:rsidRPr="00201A0D">
        <w:rPr>
          <w:rFonts w:ascii="Times New Roman" w:hAnsi="Times New Roman" w:cs="Times New Roman"/>
          <w:sz w:val="20"/>
          <w:szCs w:val="20"/>
        </w:rPr>
        <w:t xml:space="preserve">; и озера: </w:t>
      </w:r>
      <w:hyperlink r:id="rId35" w:tooltip="Ильмень" w:history="1">
        <w:r w:rsidRPr="00201A0D">
          <w:rPr>
            <w:rFonts w:ascii="Times New Roman" w:hAnsi="Times New Roman" w:cs="Times New Roman"/>
            <w:sz w:val="20"/>
            <w:szCs w:val="20"/>
          </w:rPr>
          <w:t>Ильмень</w:t>
        </w:r>
      </w:hyperlink>
      <w:r w:rsidRPr="00201A0D">
        <w:rPr>
          <w:rFonts w:ascii="Times New Roman" w:hAnsi="Times New Roman" w:cs="Times New Roman"/>
          <w:sz w:val="20"/>
          <w:szCs w:val="20"/>
        </w:rPr>
        <w:t xml:space="preserve">, </w:t>
      </w:r>
      <w:hyperlink r:id="rId36" w:tooltip="Валдайское (озеро)" w:history="1">
        <w:r w:rsidRPr="00201A0D">
          <w:rPr>
            <w:rFonts w:ascii="Times New Roman" w:hAnsi="Times New Roman" w:cs="Times New Roman"/>
            <w:sz w:val="20"/>
            <w:szCs w:val="20"/>
          </w:rPr>
          <w:t>Валдайское</w:t>
        </w:r>
      </w:hyperlink>
      <w:r w:rsidRPr="00201A0D">
        <w:rPr>
          <w:rFonts w:ascii="Times New Roman" w:hAnsi="Times New Roman" w:cs="Times New Roman"/>
          <w:sz w:val="20"/>
          <w:szCs w:val="20"/>
        </w:rPr>
        <w:t xml:space="preserve">, </w:t>
      </w:r>
      <w:hyperlink r:id="rId37" w:tooltip="Вельё" w:history="1">
        <w:r w:rsidRPr="00201A0D">
          <w:rPr>
            <w:rFonts w:ascii="Times New Roman" w:hAnsi="Times New Roman" w:cs="Times New Roman"/>
            <w:sz w:val="20"/>
            <w:szCs w:val="20"/>
          </w:rPr>
          <w:t>Вель</w:t>
        </w:r>
      </w:hyperlink>
      <w:r w:rsidRPr="00201A0D">
        <w:rPr>
          <w:rFonts w:ascii="Times New Roman" w:hAnsi="Times New Roman" w:cs="Times New Roman"/>
          <w:sz w:val="20"/>
          <w:szCs w:val="20"/>
        </w:rPr>
        <w:t xml:space="preserve">е, </w:t>
      </w:r>
      <w:hyperlink r:id="rId38" w:tooltip="Селигер" w:history="1">
        <w:r w:rsidRPr="00201A0D">
          <w:rPr>
            <w:rFonts w:ascii="Times New Roman" w:hAnsi="Times New Roman" w:cs="Times New Roman"/>
            <w:sz w:val="20"/>
            <w:szCs w:val="20"/>
          </w:rPr>
          <w:t>Селигер</w:t>
        </w:r>
      </w:hyperlink>
      <w:r w:rsidRPr="00201A0D">
        <w:rPr>
          <w:rFonts w:ascii="Times New Roman" w:hAnsi="Times New Roman" w:cs="Times New Roman"/>
          <w:sz w:val="20"/>
          <w:szCs w:val="20"/>
        </w:rPr>
        <w:t xml:space="preserve"> и другие. Область расположена в лесной зоне (южная </w:t>
      </w:r>
      <w:hyperlink r:id="rId39" w:tooltip="Тайга" w:history="1">
        <w:r w:rsidRPr="00201A0D">
          <w:rPr>
            <w:rFonts w:ascii="Times New Roman" w:hAnsi="Times New Roman" w:cs="Times New Roman"/>
            <w:sz w:val="20"/>
            <w:szCs w:val="20"/>
          </w:rPr>
          <w:t>тайга</w:t>
        </w:r>
      </w:hyperlink>
      <w:r w:rsidRPr="00201A0D">
        <w:rPr>
          <w:rFonts w:ascii="Times New Roman" w:hAnsi="Times New Roman" w:cs="Times New Roman"/>
          <w:sz w:val="20"/>
          <w:szCs w:val="20"/>
        </w:rPr>
        <w:t xml:space="preserve"> и смешанные леса) и обладает подзолистыми и болотистыми (на северо-западе) почвами. На территории области расположены</w:t>
      </w:r>
      <w:hyperlink r:id="rId40" w:tooltip="Валдайский национальный парк" w:history="1">
        <w:r w:rsidRPr="00201A0D">
          <w:rPr>
            <w:rFonts w:ascii="Times New Roman" w:hAnsi="Times New Roman" w:cs="Times New Roman"/>
            <w:sz w:val="20"/>
            <w:szCs w:val="20"/>
          </w:rPr>
          <w:t xml:space="preserve"> «Национальный парк</w:t>
        </w:r>
      </w:hyperlink>
      <w:r w:rsidRPr="00201A0D">
        <w:rPr>
          <w:rFonts w:ascii="Times New Roman" w:hAnsi="Times New Roman" w:cs="Times New Roman"/>
          <w:sz w:val="20"/>
          <w:szCs w:val="20"/>
        </w:rPr>
        <w:t xml:space="preserve"> «Валдайский»» и </w:t>
      </w:r>
      <w:hyperlink r:id="rId41" w:tooltip="Рдейский заповедник" w:history="1">
        <w:r w:rsidRPr="00201A0D">
          <w:rPr>
            <w:rFonts w:ascii="Times New Roman" w:hAnsi="Times New Roman" w:cs="Times New Roman"/>
            <w:sz w:val="20"/>
            <w:szCs w:val="20"/>
          </w:rPr>
          <w:t>Рдейский заповедник</w:t>
        </w:r>
      </w:hyperlink>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Полезные ископаемые: месторождения </w:t>
      </w:r>
      <w:hyperlink r:id="rId42" w:tooltip="Торф" w:history="1">
        <w:r w:rsidRPr="00201A0D">
          <w:rPr>
            <w:rFonts w:ascii="Times New Roman" w:hAnsi="Times New Roman" w:cs="Times New Roman"/>
            <w:sz w:val="20"/>
            <w:szCs w:val="20"/>
          </w:rPr>
          <w:t>торфа</w:t>
        </w:r>
      </w:hyperlink>
      <w:r w:rsidRPr="00201A0D">
        <w:rPr>
          <w:rFonts w:ascii="Times New Roman" w:hAnsi="Times New Roman" w:cs="Times New Roman"/>
          <w:sz w:val="20"/>
          <w:szCs w:val="20"/>
        </w:rPr>
        <w:t xml:space="preserve">, </w:t>
      </w:r>
      <w:hyperlink r:id="rId43" w:tooltip="Бурый уголь" w:history="1">
        <w:r w:rsidRPr="00201A0D">
          <w:rPr>
            <w:rFonts w:ascii="Times New Roman" w:hAnsi="Times New Roman" w:cs="Times New Roman"/>
            <w:sz w:val="20"/>
            <w:szCs w:val="20"/>
          </w:rPr>
          <w:t>бурого угля</w:t>
        </w:r>
      </w:hyperlink>
      <w:r w:rsidRPr="00201A0D">
        <w:rPr>
          <w:rFonts w:ascii="Times New Roman" w:hAnsi="Times New Roman" w:cs="Times New Roman"/>
          <w:sz w:val="20"/>
          <w:szCs w:val="20"/>
        </w:rPr>
        <w:t xml:space="preserve">, огнеупорной и строительной </w:t>
      </w:r>
      <w:hyperlink r:id="rId44" w:tooltip="Глина" w:history="1">
        <w:r w:rsidRPr="00201A0D">
          <w:rPr>
            <w:rFonts w:ascii="Times New Roman" w:hAnsi="Times New Roman" w:cs="Times New Roman"/>
            <w:sz w:val="20"/>
            <w:szCs w:val="20"/>
          </w:rPr>
          <w:t>глины</w:t>
        </w:r>
      </w:hyperlink>
      <w:r w:rsidRPr="00201A0D">
        <w:rPr>
          <w:rFonts w:ascii="Times New Roman" w:hAnsi="Times New Roman" w:cs="Times New Roman"/>
          <w:sz w:val="20"/>
          <w:szCs w:val="20"/>
        </w:rPr>
        <w:t xml:space="preserve">, </w:t>
      </w:r>
      <w:hyperlink r:id="rId45" w:tooltip="Бокситы" w:history="1">
        <w:r w:rsidRPr="00201A0D">
          <w:rPr>
            <w:rFonts w:ascii="Times New Roman" w:hAnsi="Times New Roman" w:cs="Times New Roman"/>
            <w:sz w:val="20"/>
            <w:szCs w:val="20"/>
          </w:rPr>
          <w:t>бокситов</w:t>
        </w:r>
      </w:hyperlink>
      <w:r w:rsidRPr="00201A0D">
        <w:rPr>
          <w:rFonts w:ascii="Times New Roman" w:hAnsi="Times New Roman" w:cs="Times New Roman"/>
          <w:sz w:val="20"/>
          <w:szCs w:val="20"/>
        </w:rPr>
        <w:t xml:space="preserve"> и др. Область богата минеральными и </w:t>
      </w:r>
      <w:hyperlink r:id="rId46" w:tooltip="Радон" w:history="1">
        <w:r w:rsidRPr="00201A0D">
          <w:rPr>
            <w:rFonts w:ascii="Times New Roman" w:hAnsi="Times New Roman" w:cs="Times New Roman"/>
            <w:sz w:val="20"/>
            <w:szCs w:val="20"/>
          </w:rPr>
          <w:t>радоновыми</w:t>
        </w:r>
      </w:hyperlink>
      <w:r w:rsidRPr="00201A0D">
        <w:rPr>
          <w:rFonts w:ascii="Times New Roman" w:hAnsi="Times New Roman" w:cs="Times New Roman"/>
          <w:sz w:val="20"/>
          <w:szCs w:val="20"/>
        </w:rPr>
        <w:t xml:space="preserve"> источниками, лечебными грязями. По степени освоения питьевых подземных минеральных вод, Новгородская область является основным лидером в Северо-Западном регионе. В последние годы активно идет процесс выявления новых месторождений. Планируется геологическое изучение участков недр на </w:t>
      </w:r>
      <w:hyperlink r:id="rId47" w:tooltip="Нефть" w:history="1">
        <w:r w:rsidRPr="00201A0D">
          <w:rPr>
            <w:rFonts w:ascii="Times New Roman" w:hAnsi="Times New Roman" w:cs="Times New Roman"/>
            <w:sz w:val="20"/>
            <w:szCs w:val="20"/>
          </w:rPr>
          <w:t>нефть</w:t>
        </w:r>
      </w:hyperlink>
      <w:r w:rsidRPr="00201A0D">
        <w:rPr>
          <w:rFonts w:ascii="Times New Roman" w:hAnsi="Times New Roman" w:cs="Times New Roman"/>
          <w:sz w:val="20"/>
          <w:szCs w:val="20"/>
        </w:rPr>
        <w:t xml:space="preserve">, </w:t>
      </w:r>
      <w:hyperlink r:id="rId48" w:tooltip="Алмаз" w:history="1">
        <w:r w:rsidRPr="00201A0D">
          <w:rPr>
            <w:rFonts w:ascii="Times New Roman" w:hAnsi="Times New Roman" w:cs="Times New Roman"/>
            <w:sz w:val="20"/>
            <w:szCs w:val="20"/>
          </w:rPr>
          <w:t>алмазы</w:t>
        </w:r>
      </w:hyperlink>
      <w:r w:rsidRPr="00201A0D">
        <w:rPr>
          <w:rFonts w:ascii="Times New Roman" w:hAnsi="Times New Roman" w:cs="Times New Roman"/>
          <w:sz w:val="20"/>
          <w:szCs w:val="20"/>
        </w:rPr>
        <w:t xml:space="preserve"> и </w:t>
      </w:r>
      <w:hyperlink r:id="rId49" w:tooltip="Марганец" w:history="1">
        <w:r w:rsidRPr="00201A0D">
          <w:rPr>
            <w:rFonts w:ascii="Times New Roman" w:hAnsi="Times New Roman" w:cs="Times New Roman"/>
            <w:sz w:val="20"/>
            <w:szCs w:val="20"/>
          </w:rPr>
          <w:t>марганец</w:t>
        </w:r>
      </w:hyperlink>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Валдайский муниципальный район расположен в юго-восточной части Новгородской области. На севере Валдайский район граничит с Крестецким и Окуловским, на юго-востоке - с Демянским районами Новгородской области, на востоке от него расположен Бологовский район Тверской области.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 xml:space="preserve">C 30 марта 2010 года (Областной закон № 716-ОЗ) на территории муниципального района имеется 9 муниципальных образований: одно городское и 8 сельских поселений. Площадь территории - 2701,63 км². Высшая точка района - холм у села Зимогорье, в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к юго-востоку от города Валдай.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районе насчитывается около 100 озёр, в том числе такое крупное, как Валдайское озеро.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Через район проходят: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автомобильная трасса Санкт-Петербург - Москва;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железнодорожные пути Октябрьской железной дороги: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Бологое - Дно;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Валдай - Крестцы (пассажирское сообщение отсутствует).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Древнейшее упоминание названия «Валдай» содержится в новгородской берестяной грамоте № 740 40-50-х годов XII в., где идёт речь о долге или налоге с Валдая ; речь, возможно, идёт о регионе в целом, а не о конкретном населённом пункте, который впервые определённо упоминается в 1495 как деревня Валдайское селище. Название по расположению при озере Валдай, а гидроним по Валдайской возвышенности. До 1654 года дворцовое село, затем до 1764 года было передано Иверскому монастырю. В XVIII - XIX веках город превратился в крупный торгово-ремесленный центр на тракте, соединяющем две столицы. В нём развивалось литейное, кузнечное дело, изготовление знаменитых колокольчиков.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Сегодня Валдай - популярный туристический центр. Есть Музей колокольчиков, Музей уездного города; на острове Валдайского озера - Иверский монастырь. В окрестностях города располагается Валдайский национальный парк.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Валдайское озеро, расположенное на Валдайской возвышенности на территории Валдайского национального парка в Валдайском районе Новгородской области России.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Площадь озера без островов составляет 19,7 км²; средняя глубина — </w:t>
      </w:r>
      <w:smartTag w:uri="urn:schemas-microsoft-com:office:smarttags" w:element="metricconverter">
        <w:smartTagPr>
          <w:attr w:name="ProductID" w:val="12 метров"/>
        </w:smartTagPr>
        <w:r w:rsidRPr="00201A0D">
          <w:rPr>
            <w:rFonts w:ascii="Times New Roman" w:hAnsi="Times New Roman" w:cs="Times New Roman"/>
            <w:sz w:val="20"/>
            <w:szCs w:val="20"/>
          </w:rPr>
          <w:t>12 метров</w:t>
        </w:r>
      </w:smartTag>
      <w:r w:rsidRPr="00201A0D">
        <w:rPr>
          <w:rFonts w:ascii="Times New Roman" w:hAnsi="Times New Roman" w:cs="Times New Roman"/>
          <w:sz w:val="20"/>
          <w:szCs w:val="20"/>
        </w:rPr>
        <w:t xml:space="preserve"> (максимальная — </w:t>
      </w:r>
      <w:smartTag w:uri="urn:schemas-microsoft-com:office:smarttags" w:element="metricconverter">
        <w:smartTagPr>
          <w:attr w:name="ProductID" w:val="60 м"/>
        </w:smartTagPr>
        <w:r w:rsidRPr="00201A0D">
          <w:rPr>
            <w:rFonts w:ascii="Times New Roman" w:hAnsi="Times New Roman" w:cs="Times New Roman"/>
            <w:sz w:val="20"/>
            <w:szCs w:val="20"/>
          </w:rPr>
          <w:t>60 м</w:t>
        </w:r>
      </w:smartTag>
      <w:r w:rsidRPr="00201A0D">
        <w:rPr>
          <w:rFonts w:ascii="Times New Roman" w:hAnsi="Times New Roman" w:cs="Times New Roman"/>
          <w:sz w:val="20"/>
          <w:szCs w:val="20"/>
        </w:rPr>
        <w:t xml:space="preserve">). Валдайское озеро покрыто льдом с начала декабря по начало мая. В средней части расположен остров, делящий озеро на два плёса. Валдайское озеро соединено с озером Ужин каналом «Копкой», построенного на средства Иверского монастыря в 1862 году на месте речки Федосеевки, длиной около </w:t>
      </w:r>
      <w:smartTag w:uri="urn:schemas-microsoft-com:office:smarttags" w:element="metricconverter">
        <w:smartTagPr>
          <w:attr w:name="ProductID" w:val="150 м"/>
        </w:smartTagPr>
        <w:r w:rsidRPr="00201A0D">
          <w:rPr>
            <w:rFonts w:ascii="Times New Roman" w:hAnsi="Times New Roman" w:cs="Times New Roman"/>
            <w:sz w:val="20"/>
            <w:szCs w:val="20"/>
          </w:rPr>
          <w:t>150 м</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западном берегу озера расположен город Валдай. На Сельвицком острове озера находится мужской Валдайский Иверский монастырь.</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района находятся многочисленные зоны рекреации вдоль рек и озер.</w:t>
      </w:r>
    </w:p>
    <w:p w:rsidR="00201A0D" w:rsidRPr="00201A0D" w:rsidRDefault="00201A0D" w:rsidP="00201A0D">
      <w:pPr>
        <w:spacing w:after="0"/>
        <w:jc w:val="both"/>
        <w:rPr>
          <w:rFonts w:ascii="Times New Roman" w:hAnsi="Times New Roman" w:cs="Times New Roman"/>
          <w:sz w:val="20"/>
          <w:szCs w:val="20"/>
        </w:rPr>
      </w:pPr>
      <w:bookmarkStart w:id="14" w:name="_Toc433382412"/>
      <w:r w:rsidRPr="00201A0D">
        <w:rPr>
          <w:rFonts w:ascii="Times New Roman" w:hAnsi="Times New Roman" w:cs="Times New Roman"/>
          <w:sz w:val="20"/>
          <w:szCs w:val="20"/>
        </w:rPr>
        <w:t>Краткая характеристика природных условий.</w:t>
      </w:r>
      <w:bookmarkEnd w:id="14"/>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Территория приурочена к северо-западным острогам Валдайской возвышенности.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201A0D">
          <w:rPr>
            <w:rFonts w:ascii="Times New Roman" w:hAnsi="Times New Roman" w:cs="Times New Roman"/>
            <w:sz w:val="20"/>
            <w:szCs w:val="20"/>
          </w:rPr>
          <w:t>100 м</w:t>
        </w:r>
      </w:smartTag>
      <w:r w:rsidRPr="00201A0D">
        <w:rPr>
          <w:rFonts w:ascii="Times New Roman" w:hAnsi="Times New Roman" w:cs="Times New Roman"/>
          <w:sz w:val="20"/>
          <w:szCs w:val="20"/>
        </w:rPr>
        <w:t>. рельеф плоский, слабоволнистый,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201A0D">
          <w:rPr>
            <w:rFonts w:ascii="Times New Roman" w:hAnsi="Times New Roman" w:cs="Times New Roman"/>
            <w:sz w:val="20"/>
            <w:szCs w:val="20"/>
          </w:rPr>
          <w:t>30 м</w:t>
        </w:r>
      </w:smartTag>
      <w:r w:rsidRPr="00201A0D">
        <w:rPr>
          <w:rFonts w:ascii="Times New Roman" w:hAnsi="Times New Roman" w:cs="Times New Roman"/>
          <w:sz w:val="20"/>
          <w:szCs w:val="20"/>
        </w:rPr>
        <w:t>. долины рек здесь неглубокие и слабо дренирующие, с плохо выработанным профилем.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Валдайская возвышенность характеризуется холмисто-грядовым рельефом, представленным чередованием холмов и гряд с понижениями и замкнутыми котловинами. Отметки поверхности здесь достигают 250-</w:t>
      </w:r>
      <w:smartTag w:uri="urn:schemas-microsoft-com:office:smarttags" w:element="metricconverter">
        <w:smartTagPr>
          <w:attr w:name="ProductID" w:val="278 м"/>
        </w:smartTagPr>
        <w:r w:rsidRPr="00201A0D">
          <w:rPr>
            <w:rFonts w:ascii="Times New Roman" w:hAnsi="Times New Roman" w:cs="Times New Roman"/>
            <w:sz w:val="20"/>
            <w:szCs w:val="20"/>
          </w:rPr>
          <w:t>278 м</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 ледниковых форм рельефа наибольшее распространение имеет холмисто-моренная равнина и слабо всхолмленная флювиогляциальная равнина, осложненная камами и озами. 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ордовик, деван и карбон). Представлена она переслаивающимися известняками, доломитами, мергелями, песками, песчаниками, алевролитами и глинами общей мощностью свыше </w:t>
      </w:r>
      <w:smartTag w:uri="urn:schemas-microsoft-com:office:smarttags" w:element="metricconverter">
        <w:smartTagPr>
          <w:attr w:name="ProductID" w:val="1500 м"/>
        </w:smartTagPr>
        <w:r w:rsidRPr="00201A0D">
          <w:rPr>
            <w:rFonts w:ascii="Times New Roman" w:hAnsi="Times New Roman" w:cs="Times New Roman"/>
            <w:sz w:val="20"/>
            <w:szCs w:val="20"/>
          </w:rPr>
          <w:t>1500 м</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Четвертичные отложения покрывают коренные породы сплошным чехлом, мощность которого изменяется от 25 до </w:t>
      </w:r>
      <w:smartTag w:uri="urn:schemas-microsoft-com:office:smarttags" w:element="metricconverter">
        <w:smartTagPr>
          <w:attr w:name="ProductID" w:val="60 м"/>
        </w:smartTagPr>
        <w:r w:rsidRPr="00201A0D">
          <w:rPr>
            <w:rFonts w:ascii="Times New Roman" w:hAnsi="Times New Roman" w:cs="Times New Roman"/>
            <w:sz w:val="20"/>
            <w:szCs w:val="20"/>
          </w:rPr>
          <w:t>60 м</w:t>
        </w:r>
      </w:smartTag>
      <w:r w:rsidRPr="00201A0D">
        <w:rPr>
          <w:rFonts w:ascii="Times New Roman" w:hAnsi="Times New Roman" w:cs="Times New Roman"/>
          <w:sz w:val="20"/>
          <w:szCs w:val="20"/>
        </w:rPr>
        <w:t xml:space="preserve">, достигая в районе Валдайского озера </w:t>
      </w:r>
      <w:smartTag w:uri="urn:schemas-microsoft-com:office:smarttags" w:element="metricconverter">
        <w:smartTagPr>
          <w:attr w:name="ProductID" w:val="100 м"/>
        </w:smartTagPr>
        <w:r w:rsidRPr="00201A0D">
          <w:rPr>
            <w:rFonts w:ascii="Times New Roman" w:hAnsi="Times New Roman" w:cs="Times New Roman"/>
            <w:sz w:val="20"/>
            <w:szCs w:val="20"/>
          </w:rPr>
          <w:t>100 м</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пределах рассматриваемой территории отмечаются следующие генетические типы отложений: ледниковый (моренный), межледниковый, озерно-ледниковый, флювиогляциальный, озерный, аллювиальный и болотный.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Гидрологические условия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w:t>
      </w:r>
      <w:r w:rsidRPr="00201A0D">
        <w:rPr>
          <w:rFonts w:ascii="Times New Roman" w:hAnsi="Times New Roman" w:cs="Times New Roman"/>
          <w:sz w:val="20"/>
          <w:szCs w:val="20"/>
        </w:rPr>
        <w:lastRenderedPageBreak/>
        <w:t xml:space="preserve">гидравлически связаны между собой. Водовмещающими являются пески различной крупности и генезиса, а также торф. Глубина залегания безнапорного горизонта со свободной поверхностью колеблется от 0 до </w:t>
      </w:r>
      <w:smartTag w:uri="urn:schemas-microsoft-com:office:smarttags" w:element="metricconverter">
        <w:smartTagPr>
          <w:attr w:name="ProductID" w:val="5 м"/>
        </w:smartTagPr>
        <w:r w:rsidRPr="00201A0D">
          <w:rPr>
            <w:rFonts w:ascii="Times New Roman" w:hAnsi="Times New Roman" w:cs="Times New Roman"/>
            <w:sz w:val="20"/>
            <w:szCs w:val="20"/>
          </w:rPr>
          <w:t>5 м</w:t>
        </w:r>
      </w:smartTag>
      <w:r w:rsidRPr="00201A0D">
        <w:rPr>
          <w:rFonts w:ascii="Times New Roman" w:hAnsi="Times New Roman" w:cs="Times New Roman"/>
          <w:sz w:val="20"/>
          <w:szCs w:val="20"/>
        </w:rPr>
        <w:t>, на повышенных участках (озах, камах) до 10-</w:t>
      </w:r>
      <w:smartTag w:uri="urn:schemas-microsoft-com:office:smarttags" w:element="metricconverter">
        <w:smartTagPr>
          <w:attr w:name="ProductID" w:val="15 м"/>
        </w:smartTagPr>
        <w:r w:rsidRPr="00201A0D">
          <w:rPr>
            <w:rFonts w:ascii="Times New Roman" w:hAnsi="Times New Roman" w:cs="Times New Roman"/>
            <w:sz w:val="20"/>
            <w:szCs w:val="20"/>
          </w:rPr>
          <w:t>15 м</w:t>
        </w:r>
      </w:smartTag>
      <w:r w:rsidRPr="00201A0D">
        <w:rPr>
          <w:rFonts w:ascii="Times New Roman" w:hAnsi="Times New Roman" w:cs="Times New Roman"/>
          <w:sz w:val="20"/>
          <w:szCs w:val="20"/>
        </w:rPr>
        <w:t>. воды четвертичных отложений характеризуются малой водообильностью. Эксплуатационный дебит скважин колеблется от 0,1-0,2 до 1,0 л/сек.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Вследствие загрязненности и малой водообильности воды четвертичных отложений ограниченно пригодны для хозяйственно-бытовых нужд и могут быть использованы только мелкими водопотребителями.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(надбиловский горизонт), для восточной – воды нижнего карбона (веневско-протвинский, тульско-михайловский).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Минеральные воды распространены повсеместно в породах девона на глубине до </w:t>
      </w:r>
      <w:smartTag w:uri="urn:schemas-microsoft-com:office:smarttags" w:element="metricconverter">
        <w:smartTagPr>
          <w:attr w:name="ProductID" w:val="150 м"/>
        </w:smartTagPr>
        <w:r w:rsidRPr="00201A0D">
          <w:rPr>
            <w:rFonts w:ascii="Times New Roman" w:hAnsi="Times New Roman" w:cs="Times New Roman"/>
            <w:sz w:val="20"/>
            <w:szCs w:val="20"/>
          </w:rPr>
          <w:t>150 м</w:t>
        </w:r>
      </w:smartTag>
      <w:r w:rsidRPr="00201A0D">
        <w:rPr>
          <w:rFonts w:ascii="Times New Roman" w:hAnsi="Times New Roman" w:cs="Times New Roman"/>
          <w:sz w:val="20"/>
          <w:szCs w:val="20"/>
        </w:rPr>
        <w:t>. С глубиной минерализация их возрастает, усиливаются их лечебные свойства.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Физико-геологические процессы имеют ограниченное распространение. К ним относятся: оврагообразование, карст. Заболачивание преобладает в равнинной западной части территории, карст в районе оз. Валдайского, оврагообразованию подвергнуты отдельные ограниченные участки в пределах развития камового рельефа.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Полезные ископаемые на исследуемой территории представлены единичными месторождениями легкоплавких керамических глин, известняков и доломитов для известкования кислых почв, гравийно-галечных материалов и строительных песков, а также торфа.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темлый месяц июль имеет среднемесячную температуру +17,2 °С, а самый холодный январь – 8,9 °С. Абсолютный минимум температуры – -47 °С, максимум – +32 °С.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201A0D">
          <w:rPr>
            <w:rFonts w:ascii="Times New Roman" w:hAnsi="Times New Roman" w:cs="Times New Roman"/>
            <w:sz w:val="20"/>
            <w:szCs w:val="20"/>
          </w:rPr>
          <w:t>90 мм</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Преобладают в течение года южные и юго-западные ветры. Годовая скорость ветра 3-4 м/сек.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1809750" cy="191516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Территория расположена в зоне таежно-лесных подзолистых и болотных почв. Наиболее распространены почвы подзолистого типа, среди которых выделяются дерново-подзолистые.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Характер рельефа не способствует формированию речной сети. Для этого района характерны многочисленные озера, которые не отделимы от рек и образуют с последними сложные озерно-речные системы. Реки по существу не имеют собственных разработанных долин и протекают по понижениям морено-холмистого рельефа.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Рассматриваемая территория, относящаяся к зоне избыточного увлажнения, имеет много озер различной величины и формы. Почти все озера ледникового происхождения. Озера характеризуются разнообразием растительных и животных организмов, обладают высокой биологической продуктивностью, большинство из них могут быть превращены в крупные питомники рыборазведения.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Природные условия в целом благоприятны для хозяйственной деятельности, развития производства и расселения: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почвенно-климатические условия способствуют выращиванию всех сельскохозяйственных культур;</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рельеф территории не создает препятствий для расселения, развития производства и строительства;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наличие промышленных запасов легкоплавких глин способствует развитию производства кирпича;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мягкий температурный режим, относительно теплое лето, живописный рельеф, наличие лесных массивов в сочетании с водными поверхностями создают благоприятные условия для проживания населения и организации отдыха.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К числу неблагоприятных природных факторов следует отнести наличие значительного количества заболоченных земель, низкое естественное плодородие почв и мелкоконтурность сельскохозяйственных угодий.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Основаниями зданий и сооружений будут служить устойчивые грунты. 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 Освоение участков, подверженных развитию опасных геологических процессов при градостроительном освоении, требует применения специальных инженерных мероприятий по укреплению оснований или усилению несущих конструкций сооружений.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предотвращения негативных последствий ЭГП рекомендуется: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проведении инженерно-геологических изысканий под строительство проводить оценку подверженности выбранных участков современным инженерно-геологическим процессам;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вновь выбранных и уже застроенных участках, выполнять рекомендованные профилактические мероприятия. Такие как: наблюдения за сохранностью и устойчивостью сооружений, запрещение распашки склонов, проведение регулирования поверхностного стока, осуществление посадки и сохранности древесно-кустарниковой растительности;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проведение инженерно-геологического районирования территории по условиям развития и распространения ЭГП и по интенсивности их проявления;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организация постоянного ведения мониторинга ЭГП.</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освоении закарстованных территорий необходимо проведение специальных изысканий для определения категории устойчивости и назначение противокарстовых мероприятий.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Едровского СП находятся особо охраняемые природные территории – ФГУ «Национальный парк «Валдайский», государственный природный биологический заказник регионального значения «Валдайский», государственный памятник природы регионального значения «Озера Городно-Горстино, Стреглино».</w:t>
      </w:r>
    </w:p>
    <w:p w:rsidR="00201A0D" w:rsidRPr="00201A0D" w:rsidRDefault="00201A0D" w:rsidP="00201A0D">
      <w:pPr>
        <w:spacing w:after="0"/>
        <w:jc w:val="both"/>
        <w:rPr>
          <w:rFonts w:ascii="Times New Roman" w:hAnsi="Times New Roman" w:cs="Times New Roman"/>
          <w:sz w:val="20"/>
          <w:szCs w:val="20"/>
        </w:rPr>
      </w:pPr>
      <w:bookmarkStart w:id="15" w:name="_Toc359848292"/>
      <w:bookmarkStart w:id="16" w:name="_Toc433382413"/>
      <w:r w:rsidRPr="00201A0D">
        <w:rPr>
          <w:rFonts w:ascii="Times New Roman" w:hAnsi="Times New Roman" w:cs="Times New Roman"/>
          <w:sz w:val="20"/>
          <w:szCs w:val="20"/>
        </w:rPr>
        <w:t>2.2. Население</w:t>
      </w:r>
      <w:bookmarkEnd w:id="15"/>
      <w:r w:rsidRPr="00201A0D">
        <w:rPr>
          <w:rFonts w:ascii="Times New Roman" w:hAnsi="Times New Roman" w:cs="Times New Roman"/>
          <w:sz w:val="20"/>
          <w:szCs w:val="20"/>
        </w:rPr>
        <w:t>.</w:t>
      </w:r>
      <w:bookmarkEnd w:id="16"/>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населения Новгородской области на начало 2013 года составила 625,855 тыс. чел. Численность населения области постоянно снижается (по сравнению с данными на начало 1991 года она уменьшилась на 16,8%). Новгородская область относится к регионам, в которых демографический кризис проявился раньше и в наибольшей степени, чем во многих регионах Российской Федерации.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Едровском сельском поселении в течение длительного времени наблюдается снижения численности населения (рис. 2.2.2.1.).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Динамика численности населения Новгородской области, Валдайского МР и Едровского СП представлены в таблице 2.2.1.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2.2.1.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567"/>
        <w:gridCol w:w="567"/>
        <w:gridCol w:w="709"/>
        <w:gridCol w:w="709"/>
        <w:gridCol w:w="567"/>
        <w:gridCol w:w="708"/>
        <w:gridCol w:w="709"/>
        <w:gridCol w:w="709"/>
        <w:gridCol w:w="709"/>
        <w:gridCol w:w="850"/>
        <w:gridCol w:w="709"/>
        <w:gridCol w:w="850"/>
      </w:tblGrid>
      <w:tr w:rsidR="00201A0D" w:rsidRPr="00201A0D" w:rsidTr="00201A0D">
        <w:trPr>
          <w:cantSplit/>
          <w:trHeight w:val="403"/>
          <w:tblHeader/>
        </w:trPr>
        <w:tc>
          <w:tcPr>
            <w:tcW w:w="1843" w:type="dxa"/>
            <w:vMerge w:val="restart"/>
            <w:tcBorders>
              <w:top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Муниципальные образования</w:t>
            </w:r>
          </w:p>
        </w:tc>
        <w:tc>
          <w:tcPr>
            <w:tcW w:w="8363" w:type="dxa"/>
            <w:gridSpan w:val="12"/>
            <w:tcBorders>
              <w:top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Годы</w:t>
            </w:r>
          </w:p>
        </w:tc>
      </w:tr>
      <w:tr w:rsidR="00201A0D" w:rsidRPr="00201A0D" w:rsidTr="00201A0D">
        <w:trPr>
          <w:cantSplit/>
          <w:trHeight w:val="435"/>
          <w:tblHeader/>
        </w:trPr>
        <w:tc>
          <w:tcPr>
            <w:tcW w:w="1843" w:type="dxa"/>
            <w:vMerge/>
            <w:vAlign w:val="center"/>
          </w:tcPr>
          <w:p w:rsidR="00201A0D" w:rsidRPr="00201A0D" w:rsidRDefault="00201A0D" w:rsidP="00201A0D">
            <w:pPr>
              <w:spacing w:after="0"/>
              <w:jc w:val="both"/>
              <w:rPr>
                <w:rFonts w:ascii="Times New Roman" w:hAnsi="Times New Roman" w:cs="Times New Roman"/>
                <w:sz w:val="20"/>
                <w:szCs w:val="20"/>
              </w:rPr>
            </w:pP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1991*</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1996*</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2001*</w:t>
            </w:r>
          </w:p>
        </w:tc>
        <w:tc>
          <w:tcPr>
            <w:tcW w:w="70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2005*</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2006*</w:t>
            </w:r>
          </w:p>
        </w:tc>
        <w:tc>
          <w:tcPr>
            <w:tcW w:w="70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2007*</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2008*</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r>
      <w:tr w:rsidR="00201A0D" w:rsidRPr="00201A0D" w:rsidTr="00201A0D">
        <w:tc>
          <w:tcPr>
            <w:tcW w:w="184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Новгородская область</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751900</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735600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710300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70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657600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652400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645369**</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632799</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629748</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625855</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trHeight w:val="375"/>
        </w:trPr>
        <w:tc>
          <w:tcPr>
            <w:tcW w:w="184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Валдайский</w:t>
            </w:r>
            <w:r w:rsidR="003E53A7">
              <w:rPr>
                <w:rFonts w:ascii="Times New Roman" w:hAnsi="Times New Roman" w:cs="Times New Roman"/>
                <w:sz w:val="20"/>
                <w:szCs w:val="20"/>
              </w:rPr>
              <w:t xml:space="preserve"> </w:t>
            </w:r>
            <w:r w:rsidRPr="00201A0D">
              <w:rPr>
                <w:rFonts w:ascii="Times New Roman" w:hAnsi="Times New Roman" w:cs="Times New Roman"/>
                <w:sz w:val="20"/>
                <w:szCs w:val="20"/>
              </w:rPr>
              <w:t>МР</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32500</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32500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30900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70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27400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26900</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26907**</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26316</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25564</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24974</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trHeight w:val="421"/>
        </w:trPr>
        <w:tc>
          <w:tcPr>
            <w:tcW w:w="184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Едровское СП</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2213</w:t>
            </w:r>
          </w:p>
        </w:tc>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2220</w:t>
            </w:r>
          </w:p>
        </w:tc>
        <w:tc>
          <w:tcPr>
            <w:tcW w:w="70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2157</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2261</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2224</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1767</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1707</w:t>
            </w:r>
          </w:p>
        </w:tc>
        <w:tc>
          <w:tcPr>
            <w:tcW w:w="70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1715</w:t>
            </w:r>
          </w:p>
        </w:tc>
        <w:tc>
          <w:tcPr>
            <w:tcW w:w="85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1785</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 по данным Генерального плана 2010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 по данным Росстат, </w:t>
      </w:r>
      <w:hyperlink r:id="rId51" w:history="1">
        <w:r w:rsidRPr="00201A0D">
          <w:rPr>
            <w:rFonts w:ascii="Times New Roman" w:hAnsi="Times New Roman" w:cs="Times New Roman"/>
            <w:sz w:val="20"/>
            <w:szCs w:val="20"/>
          </w:rPr>
          <w:t>http://www.gks.ru/dbscripts/munst/munst.htm</w:t>
        </w:r>
      </w:hyperlink>
    </w:p>
    <w:p w:rsidR="00201A0D" w:rsidRPr="00201A0D" w:rsidRDefault="00201A0D" w:rsidP="00201A0D">
      <w:pPr>
        <w:spacing w:after="0"/>
        <w:jc w:val="both"/>
        <w:rPr>
          <w:rFonts w:ascii="Times New Roman" w:hAnsi="Times New Roman" w:cs="Times New Roman"/>
          <w:sz w:val="20"/>
          <w:szCs w:val="20"/>
          <w:highlight w:val="yellow"/>
        </w:rPr>
      </w:pPr>
      <w:r w:rsidRPr="00201A0D">
        <w:rPr>
          <w:rFonts w:ascii="Times New Roman" w:hAnsi="Times New Roman" w:cs="Times New Roman"/>
          <w:noProof/>
          <w:sz w:val="20"/>
          <w:szCs w:val="20"/>
        </w:rPr>
        <w:lastRenderedPageBreak/>
        <w:drawing>
          <wp:inline distT="0" distB="0" distL="0" distR="0">
            <wp:extent cx="5755356" cy="2447745"/>
            <wp:effectExtent l="12057" t="5224" r="7912" b="1306"/>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2.2.1. Изменение численности населения в Едровском сельском поселении.</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 данным генплана 2010 года в период 2005-2008 годы наблюдалась отрицательная естественная динамика численности населения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p>
    <w:tbl>
      <w:tblPr>
        <w:tblW w:w="103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134"/>
        <w:gridCol w:w="992"/>
        <w:gridCol w:w="992"/>
        <w:gridCol w:w="1134"/>
        <w:gridCol w:w="1134"/>
        <w:gridCol w:w="992"/>
        <w:gridCol w:w="993"/>
        <w:gridCol w:w="851"/>
      </w:tblGrid>
      <w:tr w:rsidR="00201A0D" w:rsidRPr="00201A0D" w:rsidTr="00201A0D">
        <w:tc>
          <w:tcPr>
            <w:tcW w:w="2127" w:type="dxa"/>
            <w:vMerge w:val="restart"/>
            <w:tcBorders>
              <w:top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показателя</w:t>
            </w:r>
          </w:p>
        </w:tc>
        <w:tc>
          <w:tcPr>
            <w:tcW w:w="8222" w:type="dxa"/>
            <w:gridSpan w:val="8"/>
            <w:tcBorders>
              <w:top w:val="single" w:sz="4" w:space="0" w:color="auto"/>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Годы</w:t>
            </w:r>
          </w:p>
        </w:tc>
      </w:tr>
      <w:tr w:rsidR="00201A0D" w:rsidRPr="00201A0D" w:rsidTr="00201A0D">
        <w:tc>
          <w:tcPr>
            <w:tcW w:w="2127" w:type="dxa"/>
            <w:vMerge/>
            <w:vAlign w:val="center"/>
          </w:tcPr>
          <w:p w:rsidR="00201A0D" w:rsidRPr="00201A0D" w:rsidRDefault="00201A0D" w:rsidP="00201A0D">
            <w:pPr>
              <w:spacing w:after="0"/>
              <w:jc w:val="both"/>
              <w:rPr>
                <w:rFonts w:ascii="Times New Roman" w:hAnsi="Times New Roman" w:cs="Times New Roman"/>
                <w:sz w:val="20"/>
                <w:szCs w:val="20"/>
              </w:rPr>
            </w:pP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2004*</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2005*</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2006*</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2007*</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2008*</w:t>
            </w:r>
          </w:p>
        </w:tc>
        <w:tc>
          <w:tcPr>
            <w:tcW w:w="9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85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r>
      <w:tr w:rsidR="00201A0D" w:rsidRPr="00201A0D" w:rsidTr="00201A0D">
        <w:tc>
          <w:tcPr>
            <w:tcW w:w="21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населения всего</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2213</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2220</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2157</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2261</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2224</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1767</w:t>
            </w: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1707</w:t>
            </w:r>
          </w:p>
        </w:tc>
        <w:tc>
          <w:tcPr>
            <w:tcW w:w="85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1715</w:t>
            </w:r>
          </w:p>
        </w:tc>
      </w:tr>
      <w:tr w:rsidR="00201A0D" w:rsidRPr="00201A0D" w:rsidTr="00201A0D">
        <w:tc>
          <w:tcPr>
            <w:tcW w:w="21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Родилось</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w:t>
            </w:r>
          </w:p>
        </w:tc>
        <w:tc>
          <w:tcPr>
            <w:tcW w:w="85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21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Умерло</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39</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66***</w:t>
            </w:r>
          </w:p>
        </w:tc>
        <w:tc>
          <w:tcPr>
            <w:tcW w:w="85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w:t>
            </w:r>
          </w:p>
        </w:tc>
      </w:tr>
      <w:tr w:rsidR="00201A0D" w:rsidRPr="00201A0D" w:rsidTr="00201A0D">
        <w:tc>
          <w:tcPr>
            <w:tcW w:w="21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Естественный прирост</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w:t>
            </w:r>
          </w:p>
        </w:tc>
        <w:tc>
          <w:tcPr>
            <w:tcW w:w="85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r>
      <w:tr w:rsidR="00201A0D" w:rsidRPr="00201A0D" w:rsidTr="00201A0D">
        <w:tc>
          <w:tcPr>
            <w:tcW w:w="21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Механический прирост</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134</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992" w:type="dxa"/>
            <w:vAlign w:val="center"/>
          </w:tcPr>
          <w:p w:rsidR="00201A0D" w:rsidRPr="00201A0D" w:rsidRDefault="00201A0D" w:rsidP="00201A0D">
            <w:pPr>
              <w:spacing w:after="0"/>
              <w:jc w:val="both"/>
              <w:rPr>
                <w:rFonts w:ascii="Times New Roman" w:hAnsi="Times New Roman" w:cs="Times New Roman"/>
                <w:sz w:val="20"/>
                <w:szCs w:val="20"/>
              </w:rPr>
            </w:pP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w:t>
            </w:r>
          </w:p>
        </w:tc>
        <w:tc>
          <w:tcPr>
            <w:tcW w:w="85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Генерального плана 2010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по данным Росстат, </w:t>
      </w:r>
      <w:hyperlink r:id="rId53" w:history="1">
        <w:r w:rsidRPr="00201A0D">
          <w:rPr>
            <w:rFonts w:ascii="Times New Roman" w:hAnsi="Times New Roman" w:cs="Times New Roman"/>
            <w:sz w:val="20"/>
            <w:szCs w:val="20"/>
          </w:rPr>
          <w:t>http://www.gks.ru/dbscripts/munst/munst.htm</w:t>
        </w:r>
      </w:hyperlink>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поселения http://edrovoadm.ru/poselenie.html.</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данным генерального плана 2010 года за пероид 2005-2008 гг.:</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смертности в поселении составлял: 16,11 умерших на 1 тысячу человек, а коэффициент рождаемости: 6,09 родившихся на 1 тыс. чел. Смертность превышала рождаемость в 2,6 раза.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естественной убыли равен 10,02 на 1 тысячу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механического прироста равен 14,9 на 1 тысячу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общего прироста равен 4,88 на 1 тысячу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данным Росстата и Паспорта муниципального образования Едровского сельского поселения, размещенному на официальном сайте поселения за период 2011-2012 гг.:</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смертности в поселении составляет: 37,70 умерших на 1 тысячу человек, а коэффициент рождаемости: 11,11 родившихся на 1 тыс. чел. Смертность превышает рождаемость в 3,4 раза.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естественной убыли равен 26,59 на 1 тысячу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механического прироста равен 31,27 на 1 тысячу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Коэффициент общего прироста равен 4,68 на 1 тысячу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Основной причиной естественной убыли населения России (в т.ч. Новгородской области, Новгородского МР) является низкий уровень жизни населения. По уровню бедности Новгородская область занимает промежуточное положение между наиболее проблемными и слабыми регионами СЗФО. Доля населения с доходами ниже прожиточного минимума (в худшем 1999г.) составляла: 24%, а с принятием нового прожиточного минимума в 2000 г. возросла до: 34%. Хотя она и сократилась в последнее время, все же </w:t>
      </w:r>
      <w:r w:rsidRPr="00201A0D">
        <w:rPr>
          <w:rFonts w:ascii="Times New Roman" w:hAnsi="Times New Roman" w:cs="Times New Roman"/>
          <w:sz w:val="20"/>
          <w:szCs w:val="20"/>
        </w:rPr>
        <w:lastRenderedPageBreak/>
        <w:t>остается выше средне окружного уровня. В результате в 2006 г. доля бедных в области оказалась значительно выше средней по стране.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Низкий уровень жизни людей - одна из главных причин высокой смертности и низкой рождаемости населения.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6153018" cy="3102604"/>
            <wp:effectExtent l="12196" t="6102" r="4446" b="254"/>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2.2.3. Изменение основных демографических показателей Едровского сельского поселения за период с 2005 по 2012 годы.</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 сравнения  демографических  показателей по Едровскому сельскому поселению за период 2005-2008 годы и за период 2011-2012 годы, можно сделать вывод о том, что на расчетный срок возможно увеличение население за счет механического прироста, т.е. из-за положительной миграции. Прирост  населения на расчетный срок может составить  за счет этого фактора около 160 человек (1,715*4,68*20, где 4,68 коэффициент общего прироста равен 4,68 на 1 тысячу человек по данным 2011-2012 годов). С учетом этого численность населения на расчетный срок может составить  1875 человек. Однако, по планам Администрации поселения ожидается более значительный рост численности населения, за счет развития двух населенных пунктов поселения – села Едрово (увеличение численности жителей на 256 человек)  и деревни Большое Носакино (на 1867 человек  за счет создания в этом населенном пункте кадетского училища и большого жилищного и социально-бытового строительства). Все это увеличение численности населения  будет обусловлено миграционным притоком жителей из-за пределов Валдайского района и Новгородской области).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Таким образом, население Едровского сельского поселения на расчетный срок (2034 г.) может  составить 3998  человек, а вместе с пациентами ПНИ «Добывалово» - 4198 человек.</w:t>
      </w:r>
    </w:p>
    <w:p w:rsidR="00201A0D" w:rsidRPr="00201A0D" w:rsidRDefault="00201A0D" w:rsidP="00201A0D">
      <w:pPr>
        <w:spacing w:after="0"/>
        <w:jc w:val="both"/>
        <w:rPr>
          <w:rFonts w:ascii="Times New Roman" w:hAnsi="Times New Roman" w:cs="Times New Roman"/>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2059"/>
        <w:gridCol w:w="1760"/>
        <w:gridCol w:w="2492"/>
        <w:gridCol w:w="2225"/>
      </w:tblGrid>
      <w:tr w:rsidR="00201A0D" w:rsidRPr="00201A0D" w:rsidTr="00201A0D">
        <w:trPr>
          <w:cantSplit/>
          <w:tblHeader/>
        </w:trPr>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п/п</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населенного пункта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постоянно проживающего населения 2013 год*</w:t>
            </w:r>
          </w:p>
        </w:tc>
        <w:tc>
          <w:tcPr>
            <w:tcW w:w="278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постоянно проживающего населения на расчетный срок 2034 год (без учета инвестиционных проектов</w:t>
            </w:r>
          </w:p>
        </w:tc>
        <w:tc>
          <w:tcPr>
            <w:tcW w:w="242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постоянно проживающего населения на расчетный срок 2034 год (с учетом инвестиционных проектов)</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Афанасово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Бель</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1867***</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Гвоздки</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6.</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98</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103</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103</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1266</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1325</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1581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106</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Костелёво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Марково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58</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Новинка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Плав</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41</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Итого: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1785</w:t>
            </w:r>
          </w:p>
        </w:tc>
        <w:tc>
          <w:tcPr>
            <w:tcW w:w="278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1875</w:t>
            </w:r>
          </w:p>
        </w:tc>
        <w:tc>
          <w:tcPr>
            <w:tcW w:w="24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3998</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Кроме того пациенты ПНИ «Добывалово»</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169</w:t>
            </w:r>
          </w:p>
        </w:tc>
        <w:tc>
          <w:tcPr>
            <w:tcW w:w="278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2424" w:type="dxa"/>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c>
          <w:tcPr>
            <w:tcW w:w="741" w:type="dxa"/>
            <w:vAlign w:val="center"/>
          </w:tcPr>
          <w:p w:rsidR="00201A0D" w:rsidRPr="00201A0D" w:rsidRDefault="00201A0D" w:rsidP="00201A0D">
            <w:pPr>
              <w:spacing w:after="0"/>
              <w:jc w:val="both"/>
              <w:rPr>
                <w:rFonts w:ascii="Times New Roman" w:hAnsi="Times New Roman" w:cs="Times New Roman"/>
                <w:sz w:val="20"/>
                <w:szCs w:val="20"/>
              </w:rPr>
            </w:pP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 с пациентами:</w:t>
            </w:r>
          </w:p>
        </w:tc>
        <w:tc>
          <w:tcPr>
            <w:tcW w:w="18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1954</w:t>
            </w:r>
          </w:p>
        </w:tc>
        <w:tc>
          <w:tcPr>
            <w:tcW w:w="278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2075</w:t>
            </w:r>
          </w:p>
        </w:tc>
        <w:tc>
          <w:tcPr>
            <w:tcW w:w="2424" w:type="dxa"/>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4198</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Администрации Едровского сельского поселения 2014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согласно генплану 2010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без учета учащихся планируемого кадетского корпуса (300 учащихся). </w:t>
      </w:r>
    </w:p>
    <w:p w:rsidR="00201A0D" w:rsidRPr="00201A0D" w:rsidRDefault="00201A0D" w:rsidP="00201A0D">
      <w:pPr>
        <w:spacing w:after="0"/>
        <w:jc w:val="both"/>
        <w:rPr>
          <w:rFonts w:ascii="Times New Roman" w:hAnsi="Times New Roman" w:cs="Times New Roman"/>
          <w:sz w:val="20"/>
          <w:szCs w:val="20"/>
        </w:rPr>
      </w:pPr>
      <w:bookmarkStart w:id="17" w:name="_Toc433382414"/>
      <w:r w:rsidRPr="00201A0D">
        <w:rPr>
          <w:rFonts w:ascii="Times New Roman" w:hAnsi="Times New Roman" w:cs="Times New Roman"/>
          <w:sz w:val="20"/>
          <w:szCs w:val="20"/>
        </w:rPr>
        <w:t>2.3. Земельный фонд.</w:t>
      </w:r>
      <w:bookmarkEnd w:id="17"/>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Распределе</w:t>
      </w:r>
      <w:r w:rsidR="00A51C94">
        <w:rPr>
          <w:rFonts w:ascii="Times New Roman" w:hAnsi="Times New Roman" w:cs="Times New Roman"/>
          <w:sz w:val="20"/>
          <w:szCs w:val="20"/>
        </w:rPr>
        <w:t>ние земельного фонда Едровского</w:t>
      </w:r>
      <w:r w:rsidRPr="00201A0D">
        <w:rPr>
          <w:rFonts w:ascii="Times New Roman" w:hAnsi="Times New Roman" w:cs="Times New Roman"/>
          <w:sz w:val="20"/>
          <w:szCs w:val="20"/>
        </w:rPr>
        <w:t xml:space="preserve"> сельского поселения на расчетный срок после внесения корректировки по категориям земель представлено в таблице 2.3.1.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2.3.1.</w:t>
      </w:r>
    </w:p>
    <w:tbl>
      <w:tblPr>
        <w:tblW w:w="5000" w:type="pct"/>
        <w:tblLayout w:type="fixed"/>
        <w:tblLook w:val="0000"/>
      </w:tblPr>
      <w:tblGrid>
        <w:gridCol w:w="484"/>
        <w:gridCol w:w="3020"/>
        <w:gridCol w:w="1328"/>
        <w:gridCol w:w="1011"/>
        <w:gridCol w:w="1328"/>
        <w:gridCol w:w="800"/>
        <w:gridCol w:w="800"/>
        <w:gridCol w:w="800"/>
      </w:tblGrid>
      <w:tr w:rsidR="00201A0D" w:rsidRPr="00201A0D" w:rsidTr="00201A0D">
        <w:trPr>
          <w:cantSplit/>
          <w:trHeight w:hRule="exact" w:val="770"/>
          <w:tblHeader/>
        </w:trPr>
        <w:tc>
          <w:tcPr>
            <w:tcW w:w="511" w:type="dxa"/>
            <w:vMerge w:val="restart"/>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п/п</w:t>
            </w:r>
          </w:p>
        </w:tc>
        <w:tc>
          <w:tcPr>
            <w:tcW w:w="3328" w:type="dxa"/>
            <w:vMerge w:val="restart"/>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Территории</w:t>
            </w:r>
          </w:p>
        </w:tc>
        <w:tc>
          <w:tcPr>
            <w:tcW w:w="2546" w:type="dxa"/>
            <w:gridSpan w:val="2"/>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Современное использование</w:t>
            </w:r>
          </w:p>
        </w:tc>
        <w:tc>
          <w:tcPr>
            <w:tcW w:w="23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Расчетный срок</w:t>
            </w:r>
          </w:p>
        </w:tc>
        <w:tc>
          <w:tcPr>
            <w:tcW w:w="1724" w:type="dxa"/>
            <w:gridSpan w:val="2"/>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Расчетный срок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Изменения 2018г. </w:t>
            </w:r>
          </w:p>
        </w:tc>
      </w:tr>
      <w:tr w:rsidR="00201A0D" w:rsidRPr="00201A0D" w:rsidTr="00201A0D">
        <w:trPr>
          <w:cantSplit/>
          <w:trHeight w:val="413"/>
          <w:tblHeader/>
        </w:trPr>
        <w:tc>
          <w:tcPr>
            <w:tcW w:w="511" w:type="dxa"/>
            <w:vMerge/>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p>
        </w:tc>
        <w:tc>
          <w:tcPr>
            <w:tcW w:w="3328" w:type="dxa"/>
            <w:vMerge/>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p>
        </w:tc>
        <w:tc>
          <w:tcPr>
            <w:tcW w:w="1449" w:type="dxa"/>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w:t>
            </w:r>
          </w:p>
        </w:tc>
        <w:tc>
          <w:tcPr>
            <w:tcW w:w="1097" w:type="dxa"/>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449" w:type="dxa"/>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w:t>
            </w: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862"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w:t>
            </w:r>
          </w:p>
        </w:tc>
        <w:tc>
          <w:tcPr>
            <w:tcW w:w="862"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w:t>
            </w:r>
          </w:p>
        </w:tc>
        <w:tc>
          <w:tcPr>
            <w:tcW w:w="3328" w:type="dxa"/>
            <w:tcBorders>
              <w:left w:val="single" w:sz="4" w:space="0" w:color="000000"/>
              <w:bottom w:val="single" w:sz="4" w:space="0" w:color="000000"/>
            </w:tcBorders>
            <w:shd w:val="clear" w:color="auto" w:fill="auto"/>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Земли сельскохозяйственного назначения </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3748,77</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6,99</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3748,77</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6,99</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3693,77</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6,88</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w:t>
            </w:r>
          </w:p>
        </w:tc>
        <w:tc>
          <w:tcPr>
            <w:tcW w:w="3328" w:type="dxa"/>
            <w:tcBorders>
              <w:left w:val="single" w:sz="4" w:space="0" w:color="000000"/>
              <w:bottom w:val="single" w:sz="4" w:space="0" w:color="000000"/>
            </w:tcBorders>
            <w:shd w:val="clear" w:color="auto" w:fill="auto"/>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Земли населенных пунктов </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3012,43</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5,61</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3012,43</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5,61</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3067,43</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5,72</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III</w:t>
            </w:r>
          </w:p>
        </w:tc>
        <w:tc>
          <w:tcPr>
            <w:tcW w:w="3328" w:type="dxa"/>
            <w:tcBorders>
              <w:left w:val="single" w:sz="4" w:space="0" w:color="000000"/>
              <w:bottom w:val="single" w:sz="4" w:space="0" w:color="000000"/>
            </w:tcBorders>
            <w:shd w:val="clear" w:color="auto" w:fill="auto"/>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1453,64</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2,71</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1453,64</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2,71</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1453,64</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2,71</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IV</w:t>
            </w:r>
          </w:p>
        </w:tc>
        <w:tc>
          <w:tcPr>
            <w:tcW w:w="3328" w:type="dxa"/>
            <w:tcBorders>
              <w:left w:val="single" w:sz="4" w:space="0" w:color="000000"/>
              <w:bottom w:val="single" w:sz="4" w:space="0" w:color="000000"/>
            </w:tcBorders>
            <w:shd w:val="clear" w:color="auto" w:fill="auto"/>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Земли особо охраняемых территорий </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2,82</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0,01</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2,82</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0,01</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2,82</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0,01</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w:t>
            </w:r>
          </w:p>
        </w:tc>
        <w:tc>
          <w:tcPr>
            <w:tcW w:w="3328" w:type="dxa"/>
            <w:tcBorders>
              <w:left w:val="single" w:sz="4" w:space="0" w:color="000000"/>
              <w:bottom w:val="single" w:sz="4" w:space="0" w:color="000000"/>
            </w:tcBorders>
            <w:shd w:val="clear" w:color="auto" w:fill="auto"/>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Земли лесного фонда </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42975,75</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80,10</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42975,75</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80,10</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42975,75</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80,10</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w:t>
            </w:r>
          </w:p>
        </w:tc>
        <w:tc>
          <w:tcPr>
            <w:tcW w:w="3328" w:type="dxa"/>
            <w:tcBorders>
              <w:left w:val="single" w:sz="4" w:space="0" w:color="000000"/>
              <w:bottom w:val="single" w:sz="4" w:space="0" w:color="000000"/>
            </w:tcBorders>
            <w:shd w:val="clear" w:color="auto" w:fill="auto"/>
            <w:vAlign w:val="bottom"/>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Земли водного фонда </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2457,42</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4,58</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2457,42</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4,58</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2457,42</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4,58</w:t>
            </w:r>
          </w:p>
        </w:tc>
      </w:tr>
      <w:tr w:rsidR="00201A0D" w:rsidRPr="00201A0D" w:rsidTr="00201A0D">
        <w:trPr>
          <w:cantSplit/>
          <w:trHeight w:val="255"/>
        </w:trPr>
        <w:tc>
          <w:tcPr>
            <w:tcW w:w="511"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w:t>
            </w:r>
          </w:p>
        </w:tc>
        <w:tc>
          <w:tcPr>
            <w:tcW w:w="3328"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запаса</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w:t>
            </w:r>
          </w:p>
        </w:tc>
      </w:tr>
      <w:tr w:rsidR="00201A0D" w:rsidRPr="00201A0D" w:rsidTr="00201A0D">
        <w:trPr>
          <w:cantSplit/>
          <w:trHeight w:val="255"/>
        </w:trPr>
        <w:tc>
          <w:tcPr>
            <w:tcW w:w="3839" w:type="dxa"/>
            <w:gridSpan w:val="2"/>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53650,83</w:t>
            </w:r>
          </w:p>
        </w:tc>
        <w:tc>
          <w:tcPr>
            <w:tcW w:w="1097"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100,00</w:t>
            </w:r>
          </w:p>
        </w:tc>
        <w:tc>
          <w:tcPr>
            <w:tcW w:w="1449" w:type="dxa"/>
            <w:tcBorders>
              <w:left w:val="single" w:sz="4" w:space="0" w:color="000000"/>
              <w:bottom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53650,83</w:t>
            </w:r>
          </w:p>
        </w:tc>
        <w:tc>
          <w:tcPr>
            <w:tcW w:w="862"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100,00</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53650,83</w:t>
            </w:r>
          </w:p>
        </w:tc>
        <w:tc>
          <w:tcPr>
            <w:tcW w:w="862"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100,00</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сельскохозяйственного назначения.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со ст.77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Перераспределение земель сельскохозяйственного назначения.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Настоящими изменениями в генплан предусматривается изменение площади земель сельскохозяйственного назначения. Площадь земель сельскохозяйственного назначения уменьшается на 55 га вследствие устранения технической ошибки при установлении границы населенного пункта д.Рядчино.</w:t>
      </w:r>
    </w:p>
    <w:p w:rsidR="00201A0D" w:rsidRPr="00201A0D" w:rsidRDefault="00201A0D" w:rsidP="00201A0D">
      <w:pPr>
        <w:jc w:val="both"/>
        <w:rPr>
          <w:rFonts w:ascii="Times New Roman" w:hAnsi="Times New Roman" w:cs="Times New Roman"/>
          <w:sz w:val="20"/>
          <w:szCs w:val="20"/>
        </w:rPr>
      </w:pPr>
      <w:r w:rsidRPr="00201A0D">
        <w:rPr>
          <w:rFonts w:ascii="Times New Roman" w:hAnsi="Times New Roman" w:cs="Times New Roman"/>
          <w:sz w:val="20"/>
          <w:szCs w:val="20"/>
        </w:rPr>
        <w:t>Сведения о границе населенного пункта д.Рядчино внесены в ЕГРН (№2833436), таки</w:t>
      </w:r>
      <w:r>
        <w:rPr>
          <w:rFonts w:ascii="Times New Roman" w:hAnsi="Times New Roman" w:cs="Times New Roman"/>
          <w:sz w:val="20"/>
          <w:szCs w:val="20"/>
        </w:rPr>
        <w:t>м</w:t>
      </w:r>
      <w:r w:rsidRPr="00201A0D">
        <w:rPr>
          <w:rFonts w:ascii="Times New Roman" w:hAnsi="Times New Roman" w:cs="Times New Roman"/>
          <w:sz w:val="20"/>
          <w:szCs w:val="20"/>
        </w:rPr>
        <w:t xml:space="preserve"> образом, граница населенного</w:t>
      </w:r>
      <w:r>
        <w:rPr>
          <w:rFonts w:ascii="Times New Roman" w:hAnsi="Times New Roman" w:cs="Times New Roman"/>
          <w:sz w:val="20"/>
          <w:szCs w:val="20"/>
        </w:rPr>
        <w:t xml:space="preserve"> </w:t>
      </w:r>
      <w:r w:rsidRPr="00201A0D">
        <w:rPr>
          <w:rFonts w:ascii="Times New Roman" w:hAnsi="Times New Roman" w:cs="Times New Roman"/>
          <w:sz w:val="20"/>
          <w:szCs w:val="20"/>
        </w:rPr>
        <w:t>пункта откорректирована по указанным сведениям из ЕГРН.</w:t>
      </w:r>
    </w:p>
    <w:p w:rsidR="00201A0D" w:rsidRPr="00201A0D" w:rsidRDefault="00201A0D" w:rsidP="00201A0D">
      <w:r>
        <w:rPr>
          <w:noProof/>
        </w:rPr>
        <w:lastRenderedPageBreak/>
        <w:drawing>
          <wp:inline distT="0" distB="0" distL="0" distR="0">
            <wp:extent cx="6162675" cy="4038573"/>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t="8914" b="9113"/>
                    <a:stretch>
                      <a:fillRect/>
                    </a:stretch>
                  </pic:blipFill>
                  <pic:spPr bwMode="auto">
                    <a:xfrm>
                      <a:off x="0" y="0"/>
                      <a:ext cx="6163279" cy="4038969"/>
                    </a:xfrm>
                    <a:prstGeom prst="rect">
                      <a:avLst/>
                    </a:prstGeom>
                    <a:noFill/>
                    <a:ln w="9525">
                      <a:noFill/>
                      <a:miter lim="800000"/>
                      <a:headEnd/>
                      <a:tailEnd/>
                    </a:ln>
                  </pic:spPr>
                </pic:pic>
              </a:graphicData>
            </a:graphic>
          </wp:inline>
        </w:drawing>
      </w:r>
    </w:p>
    <w:p w:rsidR="00201A0D" w:rsidRPr="00201A0D" w:rsidRDefault="00201A0D" w:rsidP="00201A0D">
      <w:r w:rsidRPr="00201A0D">
        <w:t>Рис.2.3.1. Фрагмент населенного пункта д.Рядчино из публичной кадастровой карты.</w:t>
      </w:r>
    </w:p>
    <w:p w:rsidR="00201A0D" w:rsidRPr="00201A0D" w:rsidRDefault="00201A0D" w:rsidP="00201A0D">
      <w:r>
        <w:rPr>
          <w:noProof/>
        </w:rPr>
        <w:drawing>
          <wp:inline distT="0" distB="0" distL="0" distR="0">
            <wp:extent cx="6000750" cy="4119523"/>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t="4831" b="9296"/>
                    <a:stretch>
                      <a:fillRect/>
                    </a:stretch>
                  </pic:blipFill>
                  <pic:spPr bwMode="auto">
                    <a:xfrm>
                      <a:off x="0" y="0"/>
                      <a:ext cx="6001338" cy="4119927"/>
                    </a:xfrm>
                    <a:prstGeom prst="rect">
                      <a:avLst/>
                    </a:prstGeom>
                    <a:noFill/>
                    <a:ln w="9525">
                      <a:noFill/>
                      <a:miter lim="800000"/>
                      <a:headEnd/>
                      <a:tailEnd/>
                    </a:ln>
                  </pic:spPr>
                </pic:pic>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Рис.2.3.2. Фрагмент границы населенного пункта д.</w:t>
      </w:r>
      <w:r w:rsidR="003E53A7">
        <w:rPr>
          <w:rFonts w:ascii="Times New Roman" w:hAnsi="Times New Roman" w:cs="Times New Roman"/>
          <w:sz w:val="20"/>
          <w:szCs w:val="20"/>
        </w:rPr>
        <w:t xml:space="preserve"> </w:t>
      </w:r>
      <w:r w:rsidRPr="00201A0D">
        <w:rPr>
          <w:rFonts w:ascii="Times New Roman" w:hAnsi="Times New Roman" w:cs="Times New Roman"/>
          <w:sz w:val="20"/>
          <w:szCs w:val="20"/>
        </w:rPr>
        <w:t>Рядчино (генплан).</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земель сельскохозяйственного назначения составит 3693,77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Земли населенных пунктов.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Границы сельских населенных пунктов отделяют земли населенных пунктов от земель иных категорий. Границы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(ст.84 Земельного кодекса РФ).</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Настоящими изменениями в генплан предусматривается изменение площади земель населенных пунктов поселения.  Существующие и планируемые на расчет площади населенных пунктов поселения показаны в табл.2.2.1.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2.2.1.</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7"/>
        <w:gridCol w:w="2075"/>
        <w:gridCol w:w="1300"/>
        <w:gridCol w:w="1170"/>
        <w:gridCol w:w="1169"/>
        <w:gridCol w:w="1040"/>
        <w:gridCol w:w="911"/>
        <w:gridCol w:w="911"/>
      </w:tblGrid>
      <w:tr w:rsidR="00201A0D" w:rsidRPr="00201A0D" w:rsidTr="00201A0D">
        <w:trPr>
          <w:cantSplit/>
          <w:trHeight w:val="574"/>
          <w:tblHeader/>
        </w:trPr>
        <w:tc>
          <w:tcPr>
            <w:tcW w:w="574" w:type="dxa"/>
            <w:vMerge w:val="restar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п/п</w:t>
            </w:r>
          </w:p>
        </w:tc>
        <w:tc>
          <w:tcPr>
            <w:tcW w:w="2265" w:type="dxa"/>
            <w:vMerge w:val="restar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населённого пункта, входящего в состав МО</w:t>
            </w:r>
          </w:p>
        </w:tc>
        <w:tc>
          <w:tcPr>
            <w:tcW w:w="5103" w:type="dxa"/>
            <w:gridSpan w:val="4"/>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населенного пункта</w:t>
            </w:r>
          </w:p>
        </w:tc>
        <w:tc>
          <w:tcPr>
            <w:tcW w:w="1986" w:type="dxa"/>
            <w:gridSpan w:val="2"/>
            <w:vMerge w:val="restar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Расчетный срок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Изменения 2018</w:t>
            </w:r>
          </w:p>
        </w:tc>
      </w:tr>
      <w:tr w:rsidR="00201A0D" w:rsidRPr="00201A0D" w:rsidTr="00201A0D">
        <w:trPr>
          <w:cantSplit/>
          <w:trHeight w:val="574"/>
          <w:tblHeader/>
        </w:trPr>
        <w:tc>
          <w:tcPr>
            <w:tcW w:w="574" w:type="dxa"/>
            <w:vMerge/>
            <w:vAlign w:val="center"/>
          </w:tcPr>
          <w:p w:rsidR="00201A0D" w:rsidRPr="00201A0D" w:rsidRDefault="00201A0D" w:rsidP="00201A0D">
            <w:pPr>
              <w:spacing w:after="0"/>
              <w:jc w:val="both"/>
              <w:rPr>
                <w:rFonts w:ascii="Times New Roman" w:hAnsi="Times New Roman" w:cs="Times New Roman"/>
                <w:sz w:val="20"/>
                <w:szCs w:val="20"/>
              </w:rPr>
            </w:pPr>
          </w:p>
        </w:tc>
        <w:tc>
          <w:tcPr>
            <w:tcW w:w="2265" w:type="dxa"/>
            <w:vMerge/>
            <w:vAlign w:val="center"/>
          </w:tcPr>
          <w:p w:rsidR="00201A0D" w:rsidRPr="00201A0D" w:rsidRDefault="00201A0D" w:rsidP="00201A0D">
            <w:pPr>
              <w:spacing w:after="0"/>
              <w:jc w:val="both"/>
              <w:rPr>
                <w:rFonts w:ascii="Times New Roman" w:hAnsi="Times New Roman" w:cs="Times New Roman"/>
                <w:sz w:val="20"/>
                <w:szCs w:val="20"/>
              </w:rPr>
            </w:pPr>
          </w:p>
        </w:tc>
        <w:tc>
          <w:tcPr>
            <w:tcW w:w="2694" w:type="dxa"/>
            <w:gridSpan w:val="2"/>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Существующая</w:t>
            </w:r>
          </w:p>
        </w:tc>
        <w:tc>
          <w:tcPr>
            <w:tcW w:w="2409" w:type="dxa"/>
            <w:gridSpan w:val="2"/>
            <w:vAlign w:val="center"/>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Расчетный срок</w:t>
            </w:r>
          </w:p>
          <w:p w:rsidR="00201A0D" w:rsidRPr="00201A0D" w:rsidRDefault="00201A0D" w:rsidP="00201A0D">
            <w:pPr>
              <w:spacing w:after="0"/>
              <w:jc w:val="both"/>
              <w:rPr>
                <w:rFonts w:ascii="Times New Roman" w:hAnsi="Times New Roman" w:cs="Times New Roman"/>
                <w:sz w:val="20"/>
                <w:szCs w:val="20"/>
              </w:rPr>
            </w:pPr>
          </w:p>
        </w:tc>
        <w:tc>
          <w:tcPr>
            <w:tcW w:w="1986" w:type="dxa"/>
            <w:gridSpan w:val="2"/>
            <w:vMerge/>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blHeader/>
        </w:trPr>
        <w:tc>
          <w:tcPr>
            <w:tcW w:w="574" w:type="dxa"/>
            <w:vMerge/>
            <w:vAlign w:val="center"/>
          </w:tcPr>
          <w:p w:rsidR="00201A0D" w:rsidRPr="00201A0D" w:rsidRDefault="00201A0D" w:rsidP="00201A0D">
            <w:pPr>
              <w:spacing w:after="0"/>
              <w:jc w:val="both"/>
              <w:rPr>
                <w:rFonts w:ascii="Times New Roman" w:hAnsi="Times New Roman" w:cs="Times New Roman"/>
                <w:sz w:val="20"/>
                <w:szCs w:val="20"/>
              </w:rPr>
            </w:pPr>
          </w:p>
        </w:tc>
        <w:tc>
          <w:tcPr>
            <w:tcW w:w="2265" w:type="dxa"/>
            <w:vMerge/>
            <w:vAlign w:val="center"/>
          </w:tcPr>
          <w:p w:rsidR="00201A0D" w:rsidRPr="00201A0D" w:rsidRDefault="00201A0D" w:rsidP="00201A0D">
            <w:pPr>
              <w:spacing w:after="0"/>
              <w:jc w:val="both"/>
              <w:rPr>
                <w:rFonts w:ascii="Times New Roman" w:hAnsi="Times New Roman" w:cs="Times New Roman"/>
                <w:sz w:val="20"/>
                <w:szCs w:val="20"/>
              </w:rPr>
            </w:pPr>
          </w:p>
        </w:tc>
        <w:tc>
          <w:tcPr>
            <w:tcW w:w="141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w:t>
            </w:r>
          </w:p>
        </w:tc>
        <w:tc>
          <w:tcPr>
            <w:tcW w:w="113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w:t>
            </w:r>
          </w:p>
        </w:tc>
        <w:tc>
          <w:tcPr>
            <w:tcW w:w="99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Афанасово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65,94</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2,19</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65,94</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2,16</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65,94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2,16</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Бель</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35,63</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1,18</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35,63</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1,18</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35,63</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1,18</w:t>
            </w:r>
          </w:p>
        </w:tc>
      </w:tr>
      <w:tr w:rsidR="00201A0D" w:rsidRPr="00201A0D" w:rsidTr="00201A0D">
        <w:trPr>
          <w:cantSplit/>
        </w:trPr>
        <w:tc>
          <w:tcPr>
            <w:tcW w:w="57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226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110,67</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3,67</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110,67</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3,67</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110,67</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3,67</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21,74</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0,72</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21,74</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0,72</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0,72</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Гвоздки</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94,21</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3,13</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94,21</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3,13</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94,21</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3,13</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56,83</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1,89</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56,83</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56,83</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1,89</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1156,66</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38,40</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1156,66</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38,40</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1156,66</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38,40</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64,93</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2,16</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64,93</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2,16</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64,93</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2,16</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Костелёво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33,56</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1,11</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33,56</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1,11</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33,56</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1,11</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158,19</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5,25</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158,19</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5,25</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158,19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5,25</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87,72</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2,91</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87,72</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2,91</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87,72</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2,91</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Марково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29,8</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0,99</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29,8</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0,99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29,8</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0,99</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70,4</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2,34</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70,4</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2,34</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165,63</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5,50</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165,63</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5,50</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165,63</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5,50</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Новинка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80,98</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2,69</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80,98</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80,98</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2,69</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Плав</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129,2</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4,29</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129,2</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129,2</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4,29</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7,27</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0,24</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7,27</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7,27</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0,24</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49,5</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1,64</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49,5</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104,5</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3,41</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189,12</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6,28</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189,12</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6,28</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189,12</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6,28</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40,9</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1,36</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40,9</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1,36</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1,36</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18,15</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0,60</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18,15</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0,60</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18,15</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0,60</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65,28</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65,28</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65,28</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60,71</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2,02</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60,71</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2,02</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60,71</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2,02</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22,74</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0,75</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22,74</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0,75</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22,74</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0,75</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98,77</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3,28</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98,77</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3,28</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98,77</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3,28</w:t>
            </w:r>
          </w:p>
        </w:tc>
      </w:tr>
      <w:tr w:rsidR="00201A0D" w:rsidRPr="00201A0D" w:rsidTr="00201A0D">
        <w:trPr>
          <w:cantSplit/>
        </w:trPr>
        <w:tc>
          <w:tcPr>
            <w:tcW w:w="57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226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97,9</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3,25</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97,9</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3,25</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97,9</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3,25</w:t>
            </w:r>
          </w:p>
        </w:tc>
      </w:tr>
      <w:tr w:rsidR="00201A0D" w:rsidRPr="00201A0D" w:rsidTr="00201A0D">
        <w:trPr>
          <w:cantSplit/>
        </w:trPr>
        <w:tc>
          <w:tcPr>
            <w:tcW w:w="2839" w:type="dxa"/>
            <w:gridSpan w:val="2"/>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Итого:</w:t>
            </w:r>
          </w:p>
        </w:tc>
        <w:tc>
          <w:tcPr>
            <w:tcW w:w="141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3012,43</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100,00</w:t>
            </w:r>
          </w:p>
        </w:tc>
        <w:tc>
          <w:tcPr>
            <w:tcW w:w="127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3012,43</w:t>
            </w:r>
          </w:p>
        </w:tc>
        <w:tc>
          <w:tcPr>
            <w:tcW w:w="113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100,00</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3067,43</w:t>
            </w:r>
          </w:p>
        </w:tc>
        <w:tc>
          <w:tcPr>
            <w:tcW w:w="993"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100,00</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Планируемые границы населенных пунктов отражены на Карте административных границ населенных пунктов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 отметить, что в рамках настоящих изменений изменяется зонирование территории с.Едрово, д.Рядчино, д.Добывалово.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Общая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муниципального образования Едровского сельского поселения составляет 1453,64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расчетный срок 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останется неизменной.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особо охраняемых территорий и объектов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основании п.4 ст.2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Едровского сельского поселения на расчетный срок площадь особо охраняемых территорий не изменяется и составляет 2,82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лесного фонда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Общая площадь земель лесного фонда Едровского сельского поселения составляет на 42975,75 га или 80,10% от общей площади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Перераспределение земель лесного фонда.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расчетный срок генерального плана площадь площади земель лесного фонда останется без изменений.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водного фонда.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Общая площадь земель водного фонда на территории Едровского сельского поселения составляет 2457,42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Перераспределение земель водного фонда.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расчетный срок генерального плана площадь земель водного фонда останется без изменений.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запаса.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Едровского сельского поселения земель запаса нет. Не планируется выделение этой категории земель и на расчетный срок.</w:t>
      </w:r>
    </w:p>
    <w:p w:rsidR="00201A0D" w:rsidRPr="00201A0D" w:rsidRDefault="00201A0D" w:rsidP="00201A0D">
      <w:pPr>
        <w:spacing w:after="0"/>
        <w:jc w:val="both"/>
        <w:rPr>
          <w:rFonts w:ascii="Times New Roman" w:hAnsi="Times New Roman" w:cs="Times New Roman"/>
          <w:sz w:val="20"/>
          <w:szCs w:val="20"/>
        </w:rPr>
      </w:pPr>
      <w:bookmarkStart w:id="18" w:name="_Toc384624705"/>
      <w:bookmarkStart w:id="19" w:name="_Toc433382415"/>
      <w:r w:rsidRPr="00201A0D">
        <w:rPr>
          <w:rFonts w:ascii="Times New Roman" w:hAnsi="Times New Roman" w:cs="Times New Roman"/>
          <w:sz w:val="20"/>
          <w:szCs w:val="20"/>
        </w:rPr>
        <w:t>2.4. Особо охраняемые природные территории.</w:t>
      </w:r>
      <w:bookmarkEnd w:id="18"/>
      <w:bookmarkEnd w:id="19"/>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Едровского СП находятся особо охраняемые природные территории: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ФГУ «Национальный парк «Валдайский» (общая площадь - 158 500 га, на территории Едровского СП – 6 347 га) относится к особо охраняемым природным территориям федерального 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Валдайский национальный парк образован постановлением Правительства РСФСР № 157 от 17.05.90 г. в Новгородской области с целью сохранения уникального озерно-лесного комплекса Валдайской возвышенности и создания условий для развития организованного отдыха в этой зоне. Подчиняется Новгородскому управлению лесами.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В его границах находится 151 населенный пункт (в т.ч. город Валдай)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С.Петербургом.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Лесные земли в составе национального парка занимают 136,2 тыс. га (85,9%), в числе которых покрытые лесом - 133,3 тыс. га (84,1%). Нелесные земли составляют 22,3 тыс. га (14,1%), в том числе: воды - 14,5 тыс. га (9,2%), болота - 4,6 тыс. га (2,9%), сенокосы - 1,5 тыс. га (0,8%), дороги - 1,2 тыс. га (0,8%).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1990 г. институтом "Росгипролес" (Москва) разработан Проект организации Валдайского национального парка ("Схема генерального плана организации Валдайского государственного природного национального парка"). Согласно ему территория национального парка разделена на несколько функциональных зон.</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принято следующее функциональное зонирование: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заповедного режима - 17,8 тыс. га (11,2% общей площади).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с режимом гидрологического заказника - 38,0 тыс. га (2/1%).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Зона регулируемого рекреационного и хозяйственного использования в акватории озер - 13,3 тыс. га (8,4%).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регулируемого рекреационного и хозяйственного использования вокруг озер - 80,8 тыс. га (51,0%).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обслуживания посетителей - 8,6 тыс. га (5,4%).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2004 г. национальный парк "Валдайский" получил статус биосферного резервата ЮНЕСКО.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научная деятельность парка развивается в области комплексного мониторинга потоков загрязняющих веществ в условиях лесной, луговой и водной экосистем. В г. Валдае находится Экологический центр национального парка, работа которого связана с детским экологическим просвещением. Валдайский национальный парк является членом Федерации Европейских национальных парков, сотрудничает со многими национальными парками России, а также национальными парками "Лахемаа" (Эстония), "Баварский лес" (Германия), "Вануаз" (Франция).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Москвой и С.-Петербургом, район расположения парка покрыт развитой сетью дорог областного и районного значения общей протяженностью 536 км.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государственный природный биологический заказник регионального значения «Валдайский» (3400 га) относится к особо охраняемым природным территориям регионального 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Государственный природный биологический заказник регионального значения "Валдайский" на территории Валдайского района образован постановлением Администрации Новгородской области от 28.07.2006 N 350 (ред. от 03.10.2008).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Целью образования заказника является сохранение и восстановление численности редких и исчезающих видов диких животных, в том числе и хозяйственно-ценных, среды их обитания и поддержания целостности естественных сообществ.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Задачами заказника являются: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сохранение природного комплекса территории заказника;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поддержание экологического баланса;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охрана и восстановление численности лося, глухаря и тетерева, а также редких и исчезающих видов животных, в том числе других ценных в хозяйственном, научном и культурном отношении;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охрана территории заказника с целью пресечения случаев незаконного изъятия из среды обитания либо уничтожения объектов животного мира;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проведение мероприятий по улучшению условий обитания особо охраняемых и других видов животных;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сохранение гнездовых, защитных и других жизненно важных стаций обитания особо охраняемых видов;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обеспечение покоя на территории гнездовых стаций особо охраняемых видов в период размножения;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регулирование численности животных, наносящих ущерб фауне заказника;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проведение ветеринарно-профилактических мероприятий с целью исключения возникновения массовых заболеваний диких животных;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ведение учета редких, исчезающих и охотничьих видов животных.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Режим охраны заказника: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заказника в целях предотвращения гибели объектов животного мира, отнесенных к объектам охоты, и среды их обитания запрещается: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добыча лося, глухаря и тетерева;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сплав леса;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загрязнение территории;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скашивание травы вдоль берегов водоемов шириной 10 - 50 м в целях предотвращения гибели кладок уток;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выжигание растительности;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любая деятельность в границах особо защищенных участков;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установление сплошных, не имеющих проходов заграждений и сооружений на путях массовой миграции животных;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устройство в реках и протоках западней или установление орудий лова, размеры которых превышают две трети ширины водотока;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Регулирование численности животных, отнесенных к объектам охоты (кроме лося, глухаря и тетерева), на территории заказника производится в случае превышения их оптимальной численности, определенной проектом организации заказника, и нанесения ими ущерба сельскому, водному и лесному хозяйствам в целях сокращения их негативного воздействия на сохранение охраняемых видов, в том числе опасности возникновения очагов эпизоотических заболеваний, путем изъятия их из среды обитания в установленном порядке.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Установленный для заказника режим обязаны соблюдать все физические и юридические лица, в том числе собственники, владельцы, пользователи и арендаторы земельных и лесных участков.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государственный памятник природы «Озера Городно-Горстино, Стреглино» (114 га) относится к особо охраняемым природным территориям регионального 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Памятник природы «Озера Городно-Горстино, Стреглино» образован решением Новгородского областного совета народных депутатов №141 от 29.04.1988 г.</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Целью создания данного памятника является сохранение ландшафта, включающего оз. Городно и расположенные рядом с ним мелкие озера,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Его значимость определяется хорошей сохранностью ландшафта, слабой антропогенной нагрузкой на природные комплексы, сложным рельефом, богатой наземной и водной растительностью, включающей редкие виды.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Озера располагаются среди холмистой местности. Особенность озер - донные и береговые ключи. Озера слабосточное, впадающих ручьев и рек нет. Разнообразна ихтиофауна. Озеро Стреглино карстовое, с резко меняющимся уровнем воды, с подземным питанием.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Границами памятника является водоохранная зона данных озер.</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Запрещенные виды деятельности и природопользования: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проведение гидромелиоративных работ;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изменение гидрологического режима;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рубки леса;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изменение видового состава растительности;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устройство стоянок туристов на территории ООПТ;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устройство свалок и замусоривание акватории и территории ООПТ.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 отметить, что на перспективу  Схемой территориального планирования Новгородской области включены  в перечень «территорий, перспективных для организации особо охраняемых природных территорий с целью сохранения и возобновления ценных природных комплексов и востребованных биологических ресурсов в условиях их щадящего использования, в частности в Перечень мест нереста лососевых рыб:</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реки и их притоки, имеющие водоохранные зоны шириной 1000,0 м, подлежащие охране согласно распоряжению Новгородского областного Совета депутатов трудящихся от 23.09.77 N 631-р "Об охране </w:t>
      </w:r>
      <w:r w:rsidRPr="00201A0D">
        <w:rPr>
          <w:rFonts w:ascii="Times New Roman" w:hAnsi="Times New Roman" w:cs="Times New Roman"/>
          <w:sz w:val="20"/>
          <w:szCs w:val="20"/>
        </w:rPr>
        <w:lastRenderedPageBreak/>
        <w:t xml:space="preserve">диких животных и растений, находящихся на территории области": Белая, Валдайка, Кунья, Луга, Мда, Пола, Снежа, Сясь, Уверь, Холова, Черенка».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Валдайка протекает по северо-западной границе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bookmarkStart w:id="20" w:name="_Toc384624706"/>
      <w:bookmarkStart w:id="21" w:name="_Toc433382416"/>
      <w:r w:rsidRPr="00201A0D">
        <w:rPr>
          <w:rFonts w:ascii="Times New Roman" w:hAnsi="Times New Roman" w:cs="Times New Roman"/>
          <w:sz w:val="20"/>
          <w:szCs w:val="20"/>
        </w:rPr>
        <w:t>2.5. Объекты культурного наследия (памятники истории и культуры).</w:t>
      </w:r>
      <w:bookmarkEnd w:id="20"/>
      <w:bookmarkEnd w:id="21"/>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Необходимый состав зон охраны объекта культурного наследия определяется проектом зон охраны объекта культурного наследия.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 требованиями Положения о зонах охраны объекта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26.04.2008 № 315,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настоящие время границы территорий и границы зон охраны объектов культурного наследия, расположенных на рассматриваемой территории Едровского сельского поселения не установлены, в связи с отсутствием проекта зон охраны.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Информация об объектах культурного на территории Едровского сельского поселения представлена в таблице 2.5.1.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2.5.1.</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02"/>
        <w:gridCol w:w="1743"/>
        <w:gridCol w:w="1171"/>
        <w:gridCol w:w="1170"/>
        <w:gridCol w:w="3117"/>
        <w:gridCol w:w="1560"/>
      </w:tblGrid>
      <w:tr w:rsidR="00201A0D" w:rsidRPr="00201A0D" w:rsidTr="00201A0D">
        <w:trPr>
          <w:cantSplit/>
          <w:trHeight w:val="665"/>
          <w:tblHeader/>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п/п</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памятника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Датировка</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Категория охраны</w:t>
            </w: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Местонахождение, современное состояние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Земли ведения</w:t>
            </w:r>
          </w:p>
        </w:tc>
      </w:tr>
      <w:tr w:rsidR="00201A0D" w:rsidRPr="00201A0D" w:rsidTr="00201A0D">
        <w:trPr>
          <w:cantSplit/>
        </w:trPr>
        <w:tc>
          <w:tcPr>
            <w:tcW w:w="10212" w:type="dxa"/>
            <w:gridSpan w:val="6"/>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Памятники археологии</w:t>
            </w: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Бель, </w:t>
            </w:r>
            <w:smartTag w:uri="urn:schemas-microsoft-com:office:smarttags" w:element="metricconverter">
              <w:smartTagPr>
                <w:attr w:name="ProductID" w:val="0,9 км"/>
              </w:smartTagPr>
              <w:r w:rsidRPr="00201A0D">
                <w:rPr>
                  <w:rFonts w:ascii="Times New Roman" w:hAnsi="Times New Roman" w:cs="Times New Roman"/>
                  <w:sz w:val="20"/>
                  <w:szCs w:val="20"/>
                </w:rPr>
                <w:t>0,9 км</w:t>
              </w:r>
            </w:smartTag>
            <w:r w:rsidRPr="00201A0D">
              <w:rPr>
                <w:rFonts w:ascii="Times New Roman" w:hAnsi="Times New Roman" w:cs="Times New Roman"/>
                <w:sz w:val="20"/>
                <w:szCs w:val="20"/>
              </w:rPr>
              <w:t xml:space="preserve"> западнее, </w:t>
            </w:r>
            <w:smartTag w:uri="urn:schemas-microsoft-com:office:smarttags" w:element="metricconverter">
              <w:smartTagPr>
                <w:attr w:name="ProductID" w:val="0,24 км"/>
              </w:smartTagPr>
              <w:r w:rsidRPr="00201A0D">
                <w:rPr>
                  <w:rFonts w:ascii="Times New Roman" w:hAnsi="Times New Roman" w:cs="Times New Roman"/>
                  <w:sz w:val="20"/>
                  <w:szCs w:val="20"/>
                </w:rPr>
                <w:t>0,24 км</w:t>
              </w:r>
            </w:smartTag>
            <w:r w:rsidRPr="00201A0D">
              <w:rPr>
                <w:rFonts w:ascii="Times New Roman" w:hAnsi="Times New Roman" w:cs="Times New Roman"/>
                <w:sz w:val="20"/>
                <w:szCs w:val="20"/>
              </w:rPr>
              <w:t xml:space="preserve"> севернее дороги Добывалово – Красилово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Большое Носакино, </w:t>
            </w:r>
            <w:smartTag w:uri="urn:schemas-microsoft-com:office:smarttags" w:element="metricconverter">
              <w:smartTagPr>
                <w:attr w:name="ProductID" w:val="1,2 км"/>
              </w:smartTagPr>
              <w:r w:rsidRPr="00201A0D">
                <w:rPr>
                  <w:rFonts w:ascii="Times New Roman" w:hAnsi="Times New Roman" w:cs="Times New Roman"/>
                  <w:sz w:val="20"/>
                  <w:szCs w:val="20"/>
                </w:rPr>
                <w:t>1,2 км</w:t>
              </w:r>
            </w:smartTag>
            <w:r w:rsidRPr="00201A0D">
              <w:rPr>
                <w:rFonts w:ascii="Times New Roman" w:hAnsi="Times New Roman" w:cs="Times New Roman"/>
                <w:sz w:val="20"/>
                <w:szCs w:val="20"/>
              </w:rPr>
              <w:t xml:space="preserve"> восточнее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Ванютино, между деревнями Ванютино и Стариково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Группа сопок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насыпи)</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северо-западная окраина, у пересечения ж/д и шоссе Москва – Санкт-Петербург, северный берег оз. Едровское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Сопка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западная окраина, северный берег оз. Едровское, у главной улицы деревни</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6</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Городище</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северо-западная часть, между улицей Гражданской и шоссе Москва-Санкт-Петербург, в урочище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 II</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 Едрово, </w:t>
            </w:r>
            <w:smartTag w:uri="urn:schemas-microsoft-com:office:smarttags" w:element="metricconverter">
              <w:smartTagPr>
                <w:attr w:name="ProductID" w:val="3,5 км"/>
              </w:smartTagPr>
              <w:r w:rsidRPr="00201A0D">
                <w:rPr>
                  <w:rFonts w:ascii="Times New Roman" w:hAnsi="Times New Roman" w:cs="Times New Roman"/>
                  <w:sz w:val="20"/>
                  <w:szCs w:val="20"/>
                </w:rPr>
                <w:t>3,5 км</w:t>
              </w:r>
            </w:smartTag>
            <w:r w:rsidRPr="00201A0D">
              <w:rPr>
                <w:rFonts w:ascii="Times New Roman" w:hAnsi="Times New Roman" w:cs="Times New Roman"/>
                <w:sz w:val="20"/>
                <w:szCs w:val="20"/>
              </w:rPr>
              <w:t xml:space="preserve"> южнее, северо-западный берег оз. Онисимово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Стоянка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III-II тыс. до н.э.</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 Едрово, </w:t>
            </w:r>
            <w:smartTag w:uri="urn:schemas-microsoft-com:office:smarttags" w:element="metricconverter">
              <w:smartTagPr>
                <w:attr w:name="ProductID" w:val="3 км"/>
              </w:smartTagPr>
              <w:r w:rsidRPr="00201A0D">
                <w:rPr>
                  <w:rFonts w:ascii="Times New Roman" w:hAnsi="Times New Roman" w:cs="Times New Roman"/>
                  <w:sz w:val="20"/>
                  <w:szCs w:val="20"/>
                </w:rPr>
                <w:t>3 км</w:t>
              </w:r>
            </w:smartTag>
            <w:r w:rsidRPr="00201A0D">
              <w:rPr>
                <w:rFonts w:ascii="Times New Roman" w:hAnsi="Times New Roman" w:cs="Times New Roman"/>
                <w:sz w:val="20"/>
                <w:szCs w:val="20"/>
              </w:rPr>
              <w:t xml:space="preserve"> северо-западнее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Красилово, северо-западная окраина, у рыбного склада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Марково, </w:t>
            </w:r>
            <w:smartTag w:uri="urn:schemas-microsoft-com:office:smarttags" w:element="metricconverter">
              <w:smartTagPr>
                <w:attr w:name="ProductID" w:val="0,2 км"/>
              </w:smartTagPr>
              <w:r w:rsidRPr="00201A0D">
                <w:rPr>
                  <w:rFonts w:ascii="Times New Roman" w:hAnsi="Times New Roman" w:cs="Times New Roman"/>
                  <w:sz w:val="20"/>
                  <w:szCs w:val="20"/>
                </w:rPr>
                <w:t>0,2 км</w:t>
              </w:r>
            </w:smartTag>
            <w:r w:rsidRPr="00201A0D">
              <w:rPr>
                <w:rFonts w:ascii="Times New Roman" w:hAnsi="Times New Roman" w:cs="Times New Roman"/>
                <w:sz w:val="20"/>
                <w:szCs w:val="20"/>
              </w:rPr>
              <w:t xml:space="preserve"> к югу-юго-западу, у скотных дворов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Наволок, </w:t>
            </w:r>
            <w:smartTag w:uri="urn:schemas-microsoft-com:office:smarttags" w:element="metricconverter">
              <w:smartTagPr>
                <w:attr w:name="ProductID" w:val="0,7 км"/>
              </w:smartTagPr>
              <w:r w:rsidRPr="00201A0D">
                <w:rPr>
                  <w:rFonts w:ascii="Times New Roman" w:hAnsi="Times New Roman" w:cs="Times New Roman"/>
                  <w:sz w:val="20"/>
                  <w:szCs w:val="20"/>
                </w:rPr>
                <w:t>0,7 км</w:t>
              </w:r>
            </w:smartTag>
            <w:r w:rsidRPr="00201A0D">
              <w:rPr>
                <w:rFonts w:ascii="Times New Roman" w:hAnsi="Times New Roman" w:cs="Times New Roman"/>
                <w:sz w:val="20"/>
                <w:szCs w:val="20"/>
              </w:rPr>
              <w:t xml:space="preserve"> восточнее, на берегу оз. Холмское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Курганная группа I</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1,7 км"/>
              </w:smartTagPr>
              <w:r w:rsidRPr="00201A0D">
                <w:rPr>
                  <w:rFonts w:ascii="Times New Roman" w:hAnsi="Times New Roman" w:cs="Times New Roman"/>
                  <w:sz w:val="20"/>
                  <w:szCs w:val="20"/>
                </w:rPr>
                <w:t>1,7 км</w:t>
              </w:r>
            </w:smartTag>
            <w:r w:rsidRPr="00201A0D">
              <w:rPr>
                <w:rFonts w:ascii="Times New Roman" w:hAnsi="Times New Roman" w:cs="Times New Roman"/>
                <w:sz w:val="20"/>
                <w:szCs w:val="20"/>
              </w:rPr>
              <w:t xml:space="preserve"> северо-восточнее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Селище</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1,7 км"/>
              </w:smartTagPr>
              <w:r w:rsidRPr="00201A0D">
                <w:rPr>
                  <w:rFonts w:ascii="Times New Roman" w:hAnsi="Times New Roman" w:cs="Times New Roman"/>
                  <w:sz w:val="20"/>
                  <w:szCs w:val="20"/>
                </w:rPr>
                <w:t>1,7 км</w:t>
              </w:r>
            </w:smartTag>
            <w:r w:rsidRPr="00201A0D">
              <w:rPr>
                <w:rFonts w:ascii="Times New Roman" w:hAnsi="Times New Roman" w:cs="Times New Roman"/>
                <w:sz w:val="20"/>
                <w:szCs w:val="20"/>
              </w:rPr>
              <w:t xml:space="preserve"> северо-восточнее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Стоянка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III-II тыс. до н.э.</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к ССЗ</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Курганная группа II, 2 насыпи</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северо-восточнее, </w:t>
            </w:r>
            <w:smartTag w:uri="urn:schemas-microsoft-com:office:smarttags" w:element="metricconverter">
              <w:smartTagPr>
                <w:attr w:name="ProductID" w:val="0,2 км"/>
              </w:smartTagPr>
              <w:r w:rsidRPr="00201A0D">
                <w:rPr>
                  <w:rFonts w:ascii="Times New Roman" w:hAnsi="Times New Roman" w:cs="Times New Roman"/>
                  <w:sz w:val="20"/>
                  <w:szCs w:val="20"/>
                </w:rPr>
                <w:t>0,2 км</w:t>
              </w:r>
            </w:smartTag>
            <w:r w:rsidRPr="00201A0D">
              <w:rPr>
                <w:rFonts w:ascii="Times New Roman" w:hAnsi="Times New Roman" w:cs="Times New Roman"/>
                <w:sz w:val="20"/>
                <w:szCs w:val="20"/>
              </w:rPr>
              <w:t xml:space="preserve"> от оз. Ситно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Курганная группа III, 11 насыпей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северо-восточнее, </w:t>
            </w:r>
            <w:smartTag w:uri="urn:schemas-microsoft-com:office:smarttags" w:element="metricconverter">
              <w:smartTagPr>
                <w:attr w:name="ProductID" w:val="0,5 км"/>
              </w:smartTagPr>
              <w:r w:rsidRPr="00201A0D">
                <w:rPr>
                  <w:rFonts w:ascii="Times New Roman" w:hAnsi="Times New Roman" w:cs="Times New Roman"/>
                  <w:sz w:val="20"/>
                  <w:szCs w:val="20"/>
                </w:rPr>
                <w:t>0,5 км</w:t>
              </w:r>
            </w:smartTag>
            <w:r w:rsidRPr="00201A0D">
              <w:rPr>
                <w:rFonts w:ascii="Times New Roman" w:hAnsi="Times New Roman" w:cs="Times New Roman"/>
                <w:sz w:val="20"/>
                <w:szCs w:val="20"/>
              </w:rPr>
              <w:t xml:space="preserve"> от оз. Ситно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Курганная группа IV, 3 насыпи</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1,5 км"/>
              </w:smartTagPr>
              <w:r w:rsidRPr="00201A0D">
                <w:rPr>
                  <w:rFonts w:ascii="Times New Roman" w:hAnsi="Times New Roman" w:cs="Times New Roman"/>
                  <w:sz w:val="20"/>
                  <w:szCs w:val="20"/>
                </w:rPr>
                <w:t>1,5 км</w:t>
              </w:r>
            </w:smartTag>
            <w:r w:rsidRPr="00201A0D">
              <w:rPr>
                <w:rFonts w:ascii="Times New Roman" w:hAnsi="Times New Roman" w:cs="Times New Roman"/>
                <w:sz w:val="20"/>
                <w:szCs w:val="20"/>
              </w:rPr>
              <w:t xml:space="preserve"> к ССВ, в сосновом бору, у развилки лесных дорог</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северо-восточнее, </w:t>
            </w:r>
            <w:smartTag w:uri="urn:schemas-microsoft-com:office:smarttags" w:element="metricconverter">
              <w:smartTagPr>
                <w:attr w:name="ProductID" w:val="0,4 км"/>
              </w:smartTagPr>
              <w:r w:rsidRPr="00201A0D">
                <w:rPr>
                  <w:rFonts w:ascii="Times New Roman" w:hAnsi="Times New Roman" w:cs="Times New Roman"/>
                  <w:sz w:val="20"/>
                  <w:szCs w:val="20"/>
                </w:rPr>
                <w:t>0,4 км</w:t>
              </w:r>
            </w:smartTag>
            <w:r w:rsidRPr="00201A0D">
              <w:rPr>
                <w:rFonts w:ascii="Times New Roman" w:hAnsi="Times New Roman" w:cs="Times New Roman"/>
                <w:sz w:val="20"/>
                <w:szCs w:val="20"/>
              </w:rPr>
              <w:t xml:space="preserve"> от оз. Ситно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Рядчино, </w:t>
            </w:r>
            <w:smartTag w:uri="urn:schemas-microsoft-com:office:smarttags" w:element="metricconverter">
              <w:smartTagPr>
                <w:attr w:name="ProductID" w:val="1,8 км"/>
              </w:smartTagPr>
              <w:r w:rsidRPr="00201A0D">
                <w:rPr>
                  <w:rFonts w:ascii="Times New Roman" w:hAnsi="Times New Roman" w:cs="Times New Roman"/>
                  <w:sz w:val="20"/>
                  <w:szCs w:val="20"/>
                </w:rPr>
                <w:t>1,8 км</w:t>
              </w:r>
            </w:smartTag>
            <w:r w:rsidRPr="00201A0D">
              <w:rPr>
                <w:rFonts w:ascii="Times New Roman" w:hAnsi="Times New Roman" w:cs="Times New Roman"/>
                <w:sz w:val="20"/>
                <w:szCs w:val="20"/>
              </w:rPr>
              <w:t xml:space="preserve"> севернее, на северо-восточном берегу оз. Рядчинское, у дороги Рядчино-Добывалово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Городище</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рубеж н.э.</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Селище, </w:t>
            </w:r>
            <w:smartTag w:uri="urn:schemas-microsoft-com:office:smarttags" w:element="metricconverter">
              <w:smartTagPr>
                <w:attr w:name="ProductID" w:val="1,5 км"/>
              </w:smartTagPr>
              <w:r w:rsidRPr="00201A0D">
                <w:rPr>
                  <w:rFonts w:ascii="Times New Roman" w:hAnsi="Times New Roman" w:cs="Times New Roman"/>
                  <w:sz w:val="20"/>
                  <w:szCs w:val="20"/>
                </w:rPr>
                <w:t>1,5 км</w:t>
              </w:r>
            </w:smartTag>
            <w:r w:rsidRPr="00201A0D">
              <w:rPr>
                <w:rFonts w:ascii="Times New Roman" w:hAnsi="Times New Roman" w:cs="Times New Roman"/>
                <w:sz w:val="20"/>
                <w:szCs w:val="20"/>
              </w:rPr>
              <w:t xml:space="preserve"> к ЮЮЗ, в излучине левого берега р. Березайки</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Селище, </w:t>
            </w:r>
            <w:smartTag w:uri="urn:schemas-microsoft-com:office:smarttags" w:element="metricconverter">
              <w:smartTagPr>
                <w:attr w:name="ProductID" w:val="0,45 км"/>
              </w:smartTagPr>
              <w:r w:rsidRPr="00201A0D">
                <w:rPr>
                  <w:rFonts w:ascii="Times New Roman" w:hAnsi="Times New Roman" w:cs="Times New Roman"/>
                  <w:sz w:val="20"/>
                  <w:szCs w:val="20"/>
                </w:rPr>
                <w:t>0,45 км</w:t>
              </w:r>
            </w:smartTag>
            <w:r w:rsidRPr="00201A0D">
              <w:rPr>
                <w:rFonts w:ascii="Times New Roman" w:hAnsi="Times New Roman" w:cs="Times New Roman"/>
                <w:sz w:val="20"/>
                <w:szCs w:val="20"/>
              </w:rPr>
              <w:t xml:space="preserve"> к ЮЮЗ</w:t>
            </w:r>
            <w:r w:rsidR="00A51C94">
              <w:rPr>
                <w:rFonts w:ascii="Times New Roman" w:hAnsi="Times New Roman" w:cs="Times New Roman"/>
                <w:sz w:val="20"/>
                <w:szCs w:val="20"/>
              </w:rPr>
              <w:t>, слева от дороги Селище – Косте</w:t>
            </w:r>
            <w:r w:rsidRPr="00201A0D">
              <w:rPr>
                <w:rFonts w:ascii="Times New Roman" w:hAnsi="Times New Roman" w:cs="Times New Roman"/>
                <w:sz w:val="20"/>
                <w:szCs w:val="20"/>
              </w:rPr>
              <w:t>лево, левый берег р. Березайки</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Сопка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VIII-IX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Селище,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северо-западнее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Жальник</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XII-XV вв.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Старина, </w:t>
            </w:r>
            <w:smartTag w:uri="urn:schemas-microsoft-com:office:smarttags" w:element="metricconverter">
              <w:smartTagPr>
                <w:attr w:name="ProductID" w:val="0,14 км"/>
              </w:smartTagPr>
              <w:r w:rsidRPr="00201A0D">
                <w:rPr>
                  <w:rFonts w:ascii="Times New Roman" w:hAnsi="Times New Roman" w:cs="Times New Roman"/>
                  <w:sz w:val="20"/>
                  <w:szCs w:val="20"/>
                </w:rPr>
                <w:t>0,14 км</w:t>
              </w:r>
            </w:smartTag>
            <w:r w:rsidRPr="00201A0D">
              <w:rPr>
                <w:rFonts w:ascii="Times New Roman" w:hAnsi="Times New Roman" w:cs="Times New Roman"/>
                <w:sz w:val="20"/>
                <w:szCs w:val="20"/>
              </w:rPr>
              <w:t xml:space="preserve"> южнее, с запада от дороги Наволок – Красилово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0212" w:type="dxa"/>
            <w:gridSpan w:val="6"/>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Памятники архитектуры</w:t>
            </w: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Дом Жилой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сер. 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Гостинца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сер. 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Дом Жилой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сер. 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Церковь Иконы Божьей Матери «Всех Скорбящих Радость»</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smartTag w:uri="urn:schemas-microsoft-com:office:smarttags" w:element="metricconverter">
              <w:smartTagPr>
                <w:attr w:name="ProductID" w:val="1852 г"/>
              </w:smartTagPr>
              <w:r w:rsidRPr="00201A0D">
                <w:rPr>
                  <w:rFonts w:ascii="Times New Roman" w:hAnsi="Times New Roman" w:cs="Times New Roman"/>
                  <w:sz w:val="20"/>
                  <w:szCs w:val="20"/>
                </w:rPr>
                <w:t>1852 г</w:t>
              </w:r>
            </w:smartTag>
            <w:r w:rsidRPr="00201A0D">
              <w:rPr>
                <w:rFonts w:ascii="Times New Roman" w:hAnsi="Times New Roman" w:cs="Times New Roman"/>
                <w:sz w:val="20"/>
                <w:szCs w:val="20"/>
              </w:rPr>
              <w:t>.</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Путевой дворец</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сер. 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29</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Флигель восточный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сер. 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Флигель западный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сер. 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31</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Дом Жилой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Дом Жилой</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Станция почтовая</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XIX в.</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0212" w:type="dxa"/>
            <w:gridSpan w:val="6"/>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Памятники истории</w:t>
            </w: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Могила летчика П. Рябцева</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1915-1945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Братская могила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Братская могила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37</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Братская могила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Добывалово, </w:t>
            </w:r>
            <w:smartTag w:uri="urn:schemas-microsoft-com:office:smarttags" w:element="metricconverter">
              <w:smartTagPr>
                <w:attr w:name="ProductID" w:val="2 км"/>
              </w:smartTagPr>
              <w:r w:rsidRPr="00201A0D">
                <w:rPr>
                  <w:rFonts w:ascii="Times New Roman" w:hAnsi="Times New Roman" w:cs="Times New Roman"/>
                  <w:sz w:val="20"/>
                  <w:szCs w:val="20"/>
                </w:rPr>
                <w:t>2 км</w:t>
              </w:r>
            </w:smartTag>
            <w:r w:rsidRPr="00201A0D">
              <w:rPr>
                <w:rFonts w:ascii="Times New Roman" w:hAnsi="Times New Roman" w:cs="Times New Roman"/>
                <w:sz w:val="20"/>
                <w:szCs w:val="20"/>
              </w:rPr>
              <w:t xml:space="preserve"> от деревни</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Кладбище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1941-1944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39</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Кладбище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1941-1944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Могила двух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41</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Братская могила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Братская могила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1 км от села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65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w:t>
            </w:r>
          </w:p>
        </w:tc>
        <w:tc>
          <w:tcPr>
            <w:tcW w:w="1901"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Братская могила советских воинов</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1941-1945 гг.</w:t>
            </w:r>
          </w:p>
        </w:tc>
        <w:tc>
          <w:tcPr>
            <w:tcW w:w="1275" w:type="dxa"/>
            <w:vAlign w:val="center"/>
          </w:tcPr>
          <w:p w:rsidR="00201A0D" w:rsidRPr="00201A0D" w:rsidRDefault="00201A0D" w:rsidP="00201A0D">
            <w:pPr>
              <w:spacing w:after="0"/>
              <w:jc w:val="both"/>
              <w:rPr>
                <w:rFonts w:ascii="Times New Roman" w:hAnsi="Times New Roman" w:cs="Times New Roman"/>
                <w:sz w:val="20"/>
                <w:szCs w:val="20"/>
              </w:rPr>
            </w:pPr>
          </w:p>
        </w:tc>
        <w:tc>
          <w:tcPr>
            <w:tcW w:w="34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1 км от села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Данная информация подготовлена в соответствии с правилами, установленными действующими нормативными актами: Положением об охране и использовании памятников истории и культуры, утвержденным постановлением Совета Министров СССР от 19.09.1982 г. № 865 и Инструкцией о порядке учета, обеспечения сохранности, содержания, использования и реставрации недвижимых памятников истории и культуры от 13.05.1986 г. № 203.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Учитывая высокую концентрацию объектов культурного наследия на территории Едровского сельского поселения Валдайского района Новгородской области и в целях обеспечения сохранности памятников истории и культуры отвод всех земельных участков для ведения хозяйственной деятельности, проектирование и проведение землеустроительных, земляных, строительных, мелиоративных, хозяйственных и иных работ на территории Подгощского сельского поселения в части указанных населенных пунктов осуществляется по согласованию с государственными органами охраны культурного наследия.</w:t>
      </w:r>
    </w:p>
    <w:p w:rsidR="00201A0D" w:rsidRPr="00201A0D" w:rsidRDefault="00201A0D" w:rsidP="00201A0D">
      <w:pPr>
        <w:spacing w:after="0"/>
        <w:jc w:val="both"/>
        <w:rPr>
          <w:rFonts w:ascii="Times New Roman" w:hAnsi="Times New Roman" w:cs="Times New Roman"/>
          <w:sz w:val="20"/>
          <w:szCs w:val="20"/>
        </w:rPr>
      </w:pPr>
      <w:bookmarkStart w:id="22" w:name="_Toc363654770"/>
      <w:bookmarkStart w:id="23" w:name="_Toc433382417"/>
      <w:r w:rsidRPr="00201A0D">
        <w:rPr>
          <w:rFonts w:ascii="Times New Roman" w:hAnsi="Times New Roman" w:cs="Times New Roman"/>
          <w:sz w:val="20"/>
          <w:szCs w:val="20"/>
        </w:rPr>
        <w:t>2.6. Объекты общественного и делового назначения.</w:t>
      </w:r>
      <w:bookmarkEnd w:id="22"/>
      <w:bookmarkEnd w:id="23"/>
      <w:r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Перечни основных объектов, размещение которых определило формирование на территории муниципального образования общественных, деловых и рекреационных зон приведены в обобщенном виде в таблицах настоящего раздела. Так как за последнее время существенных изменений по объектам общественного и делового назначения не произошло, а полный перечень основных объектов и инфраструктуры Едровского сельского поселения и их основные характеристики (параметры) и месторасположение подробно изложены в Генеральном плане Едровского сельского поселения 2010 года – в настоящих изменениях приведены только обобщенные данные по Паспорту поселения Росгосстата РФ (сайт </w:t>
      </w:r>
      <w:hyperlink r:id="rId57" w:history="1">
        <w:r w:rsidRPr="00201A0D">
          <w:rPr>
            <w:rFonts w:ascii="Times New Roman" w:hAnsi="Times New Roman" w:cs="Times New Roman"/>
            <w:sz w:val="20"/>
            <w:szCs w:val="20"/>
          </w:rPr>
          <w:t>http://www.gks.ru/dbscripts/munst/munst.htm</w:t>
        </w:r>
      </w:hyperlink>
      <w:r w:rsidRPr="00201A0D">
        <w:rPr>
          <w:rFonts w:ascii="Times New Roman" w:hAnsi="Times New Roman" w:cs="Times New Roman"/>
          <w:sz w:val="20"/>
          <w:szCs w:val="20"/>
        </w:rPr>
        <w:t>) (см.таблицы  2.6.1.-2.6.9. и рис. 2.6.1.). Более подробно проанализирована система здравоохранения Едровского сельского поселения (таблицы 2.6.1.-2.6.4. и рис.2.6.1.).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Система здравоохранения *</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050"/>
        <w:gridCol w:w="1187"/>
        <w:gridCol w:w="832"/>
        <w:gridCol w:w="830"/>
        <w:gridCol w:w="830"/>
        <w:gridCol w:w="828"/>
        <w:gridCol w:w="828"/>
      </w:tblGrid>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r>
      <w:tr w:rsidR="00201A0D" w:rsidRPr="00201A0D" w:rsidTr="00201A0D">
        <w:tc>
          <w:tcPr>
            <w:tcW w:w="4559"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больничных организаций (отделений)</w:t>
            </w:r>
          </w:p>
        </w:tc>
        <w:tc>
          <w:tcPr>
            <w:tcW w:w="441"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районные участковые больницы в составе ЦРБ, другие больничные отделения в составе ЛПО</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поликлинические стоматологические отделения (кабинеты) в составе больничных организаций и других ЛПО</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фельдшерско-акушерские пункты</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4559"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муниципальных учреждений (отделений)</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районные участковые больницы в составе ЦРБ, другие больничные отделения в составе ЛПО</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поликлинические стоматологические отделения (кабинеты) в составе больничных организаций и других ЛПО</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фельдшерско-акушерские пункты</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4559"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больничных коек</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больничные отделения в составе ЦРБ и других ЛПО</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койка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муниципальные больничные отделения</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койка</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4559"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врачей всех специальностей (без зубных)</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A51C94" w:rsidP="00201A0D">
            <w:pPr>
              <w:spacing w:after="0"/>
              <w:jc w:val="both"/>
              <w:rPr>
                <w:rFonts w:ascii="Times New Roman" w:hAnsi="Times New Roman" w:cs="Times New Roman"/>
                <w:sz w:val="20"/>
                <w:szCs w:val="20"/>
              </w:rPr>
            </w:pPr>
            <w:r>
              <w:rPr>
                <w:rFonts w:ascii="Times New Roman" w:hAnsi="Times New Roman" w:cs="Times New Roman"/>
                <w:sz w:val="20"/>
                <w:szCs w:val="20"/>
              </w:rPr>
              <w:t>организации здравоохран</w:t>
            </w:r>
            <w:r w:rsidR="00201A0D" w:rsidRPr="00201A0D">
              <w:rPr>
                <w:rFonts w:ascii="Times New Roman" w:hAnsi="Times New Roman" w:cs="Times New Roman"/>
                <w:sz w:val="20"/>
                <w:szCs w:val="20"/>
              </w:rPr>
              <w:t>ения</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муниципальные учреждения здравоохранения</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4559"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среднего медицинского персонала</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A51C94" w:rsidP="00201A0D">
            <w:pPr>
              <w:spacing w:after="0"/>
              <w:jc w:val="both"/>
              <w:rPr>
                <w:rFonts w:ascii="Times New Roman" w:hAnsi="Times New Roman" w:cs="Times New Roman"/>
                <w:sz w:val="20"/>
                <w:szCs w:val="20"/>
              </w:rPr>
            </w:pPr>
            <w:r>
              <w:rPr>
                <w:rFonts w:ascii="Times New Roman" w:hAnsi="Times New Roman" w:cs="Times New Roman"/>
                <w:sz w:val="20"/>
                <w:szCs w:val="20"/>
              </w:rPr>
              <w:t>организации здравоохран</w:t>
            </w:r>
            <w:r w:rsidR="00201A0D" w:rsidRPr="00201A0D">
              <w:rPr>
                <w:rFonts w:ascii="Times New Roman" w:hAnsi="Times New Roman" w:cs="Times New Roman"/>
                <w:sz w:val="20"/>
                <w:szCs w:val="20"/>
              </w:rPr>
              <w:t>ения</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201A0D">
        <w:tc>
          <w:tcPr>
            <w:tcW w:w="2158"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муниципальные учреждения здравоохранения</w:t>
            </w:r>
          </w:p>
        </w:tc>
        <w:tc>
          <w:tcPr>
            <w:tcW w:w="63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4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42"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41"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поселение, Росстат.</w:t>
      </w:r>
    </w:p>
    <w:p w:rsidR="00201A0D" w:rsidRPr="00201A0D" w:rsidRDefault="00515F88" w:rsidP="00201A0D">
      <w:pPr>
        <w:spacing w:after="0"/>
        <w:jc w:val="both"/>
        <w:rPr>
          <w:rFonts w:ascii="Times New Roman" w:hAnsi="Times New Roman" w:cs="Times New Roman"/>
          <w:sz w:val="20"/>
          <w:szCs w:val="20"/>
        </w:rPr>
      </w:pPr>
      <w:hyperlink r:id="rId58" w:history="1">
        <w:r w:rsidR="00201A0D" w:rsidRPr="00201A0D">
          <w:rPr>
            <w:rFonts w:ascii="Times New Roman" w:hAnsi="Times New Roman" w:cs="Times New Roman"/>
            <w:sz w:val="20"/>
            <w:szCs w:val="20"/>
          </w:rPr>
          <w:t>http://www.gks.ru/dbscripts/munst/munst.htm</w:t>
        </w:r>
      </w:hyperlink>
      <w:r w:rsidR="00201A0D"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состав поселения в настоящее время входит 26 населенных пунктов. В 3 населенных пунктах (д.Ванютино, д. Гвоздки, д.Речка)  нет постоянно зарегистрированных жителей. В 10 деревнях проживают от 1 до 7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25 км к западу от с.Едрово (вблизи  автомагистрали М-10 (Е-105) находится районный центр – город Валдай. Система здравоохранения Валдайского района имеет следующую структуру: центральная районная больница на 225 коек с поликлиникой, Едровская и Яжелбицкая участковые больницы на 20 коек каждая, 22 фельдшерско-акушерских пункта, Психоневрологическая больница на 300 коек, Валдайский наркологический диспансер на 50 коек и Валдайский санаторий «Загорье» на 50 коек.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в г.Валдай завершаются работы по вводу в эксплуатацию  Валдайского филиала 122-й Клинической больницы им.Л.Г.Соколова, который строится с учетом задачи поставленной  в  2013 году Президентом Российской Федерации  -  «снизить смертность от ДТП на опасном участке федеральной трассы М-10 Санкт-Петербург-Москва».  Сегодня она осуществима благодаря открытию травматологического центра 1-го уровня - Валдайского филиала 122-й Клинической больницы им.Л.Г.Соколова на участке 374 км трассы.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Основным учреждением здравоохранения Валдайского района является муниципальное медицинское учреждение Валдайская районная больница данные о которой представлены в таблице 2.6.2.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2.6.2.</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5863"/>
        <w:gridCol w:w="3522"/>
      </w:tblGrid>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Полное наименование учреждения</w:t>
            </w:r>
          </w:p>
        </w:tc>
        <w:tc>
          <w:tcPr>
            <w:tcW w:w="38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Местонахождение</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Муниципальное медицинское учреждение Валдайская районная больница</w:t>
            </w:r>
          </w:p>
        </w:tc>
        <w:tc>
          <w:tcPr>
            <w:tcW w:w="38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175400, Новгородская обл., г. Валдай,</w:t>
            </w:r>
            <w:r w:rsidRPr="00201A0D">
              <w:rPr>
                <w:rFonts w:ascii="Times New Roman" w:hAnsi="Times New Roman" w:cs="Times New Roman"/>
                <w:sz w:val="20"/>
                <w:szCs w:val="20"/>
              </w:rPr>
              <w:br/>
              <w:t>ул. Песчаная, д. 1а </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Фактическая вместимость (койко-мест):</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круглогодичный стационар</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135</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дневной стационар</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90</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амбулатория</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800 посещений</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Отделение скорой помощи</w:t>
            </w:r>
          </w:p>
        </w:tc>
        <w:tc>
          <w:tcPr>
            <w:tcW w:w="38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175400, Новгородская обл., г. Валдай, ул. Песчаная, д. 1а</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Бригады скорой помощи (единиц)</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Мощность амбулаторно-поликлинических учреждений</w:t>
            </w:r>
            <w:r w:rsidRPr="00201A0D">
              <w:rPr>
                <w:rFonts w:ascii="Times New Roman" w:hAnsi="Times New Roman" w:cs="Times New Roman"/>
                <w:sz w:val="20"/>
                <w:szCs w:val="20"/>
              </w:rPr>
              <w:br/>
              <w:t>(посещений в смену)</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br/>
              <w:t>719</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врачей всех специальностей</w:t>
            </w:r>
            <w:r w:rsidRPr="00201A0D">
              <w:rPr>
                <w:rFonts w:ascii="Times New Roman" w:hAnsi="Times New Roman" w:cs="Times New Roman"/>
                <w:sz w:val="20"/>
                <w:szCs w:val="20"/>
              </w:rPr>
              <w:br/>
              <w:t>(по состоянию на 1.01.10)</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br/>
              <w:t>63</w:t>
            </w:r>
          </w:p>
        </w:tc>
      </w:tr>
      <w:tr w:rsidR="00201A0D" w:rsidRPr="00201A0D" w:rsidTr="00201A0D">
        <w:tc>
          <w:tcPr>
            <w:tcW w:w="63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среднего мед.персонала в учреждениях здравоохранения</w:t>
            </w:r>
            <w:r w:rsidRPr="00201A0D">
              <w:rPr>
                <w:rFonts w:ascii="Times New Roman" w:hAnsi="Times New Roman" w:cs="Times New Roman"/>
                <w:sz w:val="20"/>
                <w:szCs w:val="20"/>
              </w:rPr>
              <w:br/>
              <w:t>(по состоянию на 1.01.10)</w:t>
            </w:r>
          </w:p>
        </w:tc>
        <w:tc>
          <w:tcPr>
            <w:tcW w:w="3840" w:type="dxa"/>
            <w:tcBorders>
              <w:top w:val="outset" w:sz="6" w:space="0" w:color="auto"/>
              <w:left w:val="outset" w:sz="6" w:space="0" w:color="auto"/>
              <w:bottom w:val="outset" w:sz="6" w:space="0" w:color="auto"/>
              <w:right w:val="outset" w:sz="6" w:space="0" w:color="auto"/>
            </w:tcBorders>
            <w:shd w:val="clear" w:color="auto" w:fill="FFFFFF"/>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br/>
              <w:t>182</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Амбулаторно-поликлинические учреждения Едровского сельского поселения  представлены тремя подразделениями ММУ Валдайская ЦРП:</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Едровская участковая больница (амбулатория);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ФАП (д.Наволок);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ФАП (д.Красилово).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составе подразделения ММУ Валдайская ЦРП: Едровская участковая больница имеется Дневной стационар (на 10 коек, при норме – 4 койки). Мощность амбулаторно-поликлинических организаций  77 посещений в смену (при норме  37 посещений).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Некоторые параметры этих учреждений представлены в таблице 2.6.3.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5"/>
        <w:gridCol w:w="1402"/>
        <w:gridCol w:w="817"/>
        <w:gridCol w:w="1038"/>
        <w:gridCol w:w="1175"/>
        <w:gridCol w:w="1106"/>
        <w:gridCol w:w="1148"/>
      </w:tblGrid>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объекта,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юридический адрес, телефон</w:t>
            </w:r>
          </w:p>
        </w:tc>
        <w:tc>
          <w:tcPr>
            <w:tcW w:w="1527"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Собственник</w:t>
            </w:r>
          </w:p>
        </w:tc>
        <w:tc>
          <w:tcPr>
            <w:tcW w:w="87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койко-мест</w:t>
            </w:r>
          </w:p>
        </w:tc>
        <w:tc>
          <w:tcPr>
            <w:tcW w:w="112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м2</w:t>
            </w:r>
          </w:p>
        </w:tc>
        <w:tc>
          <w:tcPr>
            <w:tcW w:w="127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Этажность</w:t>
            </w:r>
          </w:p>
        </w:tc>
        <w:tc>
          <w:tcPr>
            <w:tcW w:w="119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Материал</w:t>
            </w:r>
          </w:p>
        </w:tc>
        <w:tc>
          <w:tcPr>
            <w:tcW w:w="1246"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Состояние</w:t>
            </w: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Больницы:</w:t>
            </w: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p>
        </w:tc>
        <w:tc>
          <w:tcPr>
            <w:tcW w:w="879" w:type="dxa"/>
          </w:tcPr>
          <w:p w:rsidR="00201A0D" w:rsidRPr="00201A0D" w:rsidRDefault="00201A0D" w:rsidP="00201A0D">
            <w:pPr>
              <w:spacing w:after="0"/>
              <w:jc w:val="both"/>
              <w:rPr>
                <w:rFonts w:ascii="Times New Roman" w:hAnsi="Times New Roman" w:cs="Times New Roman"/>
                <w:sz w:val="20"/>
                <w:szCs w:val="20"/>
              </w:rPr>
            </w:pPr>
          </w:p>
        </w:tc>
        <w:tc>
          <w:tcPr>
            <w:tcW w:w="1124" w:type="dxa"/>
          </w:tcPr>
          <w:p w:rsidR="00201A0D" w:rsidRPr="00201A0D" w:rsidRDefault="00201A0D" w:rsidP="00201A0D">
            <w:pPr>
              <w:spacing w:after="0"/>
              <w:jc w:val="both"/>
              <w:rPr>
                <w:rFonts w:ascii="Times New Roman" w:hAnsi="Times New Roman" w:cs="Times New Roman"/>
                <w:sz w:val="20"/>
                <w:szCs w:val="20"/>
              </w:rPr>
            </w:pPr>
          </w:p>
        </w:tc>
        <w:tc>
          <w:tcPr>
            <w:tcW w:w="1276" w:type="dxa"/>
          </w:tcPr>
          <w:p w:rsidR="00201A0D" w:rsidRPr="00201A0D" w:rsidRDefault="00201A0D" w:rsidP="00201A0D">
            <w:pPr>
              <w:spacing w:after="0"/>
              <w:jc w:val="both"/>
              <w:rPr>
                <w:rFonts w:ascii="Times New Roman" w:hAnsi="Times New Roman" w:cs="Times New Roman"/>
                <w:sz w:val="20"/>
                <w:szCs w:val="20"/>
              </w:rPr>
            </w:pP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Едровская участковая больница Валдайской ЦРБ, город Валдай, ул. Песчаная, дом 1«а»,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тел. 51-559</w:t>
            </w: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ММУ Валдайская ЦРБ</w:t>
            </w:r>
          </w:p>
        </w:tc>
        <w:tc>
          <w:tcPr>
            <w:tcW w:w="87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12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848 </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Кирпич</w:t>
            </w: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Удовл.</w:t>
            </w: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Аптеки:</w:t>
            </w: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p>
        </w:tc>
        <w:tc>
          <w:tcPr>
            <w:tcW w:w="879" w:type="dxa"/>
          </w:tcPr>
          <w:p w:rsidR="00201A0D" w:rsidRPr="00201A0D" w:rsidRDefault="00201A0D" w:rsidP="00201A0D">
            <w:pPr>
              <w:spacing w:after="0"/>
              <w:jc w:val="both"/>
              <w:rPr>
                <w:rFonts w:ascii="Times New Roman" w:hAnsi="Times New Roman" w:cs="Times New Roman"/>
                <w:sz w:val="20"/>
                <w:szCs w:val="20"/>
              </w:rPr>
            </w:pPr>
          </w:p>
        </w:tc>
        <w:tc>
          <w:tcPr>
            <w:tcW w:w="1124" w:type="dxa"/>
          </w:tcPr>
          <w:p w:rsidR="00201A0D" w:rsidRPr="00201A0D" w:rsidRDefault="00201A0D" w:rsidP="00201A0D">
            <w:pPr>
              <w:spacing w:after="0"/>
              <w:jc w:val="both"/>
              <w:rPr>
                <w:rFonts w:ascii="Times New Roman" w:hAnsi="Times New Roman" w:cs="Times New Roman"/>
                <w:sz w:val="20"/>
                <w:szCs w:val="20"/>
              </w:rPr>
            </w:pPr>
          </w:p>
        </w:tc>
        <w:tc>
          <w:tcPr>
            <w:tcW w:w="1276" w:type="dxa"/>
          </w:tcPr>
          <w:p w:rsidR="00201A0D" w:rsidRPr="00201A0D" w:rsidRDefault="00201A0D" w:rsidP="00201A0D">
            <w:pPr>
              <w:spacing w:after="0"/>
              <w:jc w:val="both"/>
              <w:rPr>
                <w:rFonts w:ascii="Times New Roman" w:hAnsi="Times New Roman" w:cs="Times New Roman"/>
                <w:sz w:val="20"/>
                <w:szCs w:val="20"/>
              </w:rPr>
            </w:pP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87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12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ФАП:</w:t>
            </w: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p>
        </w:tc>
        <w:tc>
          <w:tcPr>
            <w:tcW w:w="879" w:type="dxa"/>
          </w:tcPr>
          <w:p w:rsidR="00201A0D" w:rsidRPr="00201A0D" w:rsidRDefault="00201A0D" w:rsidP="00201A0D">
            <w:pPr>
              <w:spacing w:after="0"/>
              <w:jc w:val="both"/>
              <w:rPr>
                <w:rFonts w:ascii="Times New Roman" w:hAnsi="Times New Roman" w:cs="Times New Roman"/>
                <w:sz w:val="20"/>
                <w:szCs w:val="20"/>
              </w:rPr>
            </w:pPr>
          </w:p>
        </w:tc>
        <w:tc>
          <w:tcPr>
            <w:tcW w:w="1124" w:type="dxa"/>
          </w:tcPr>
          <w:p w:rsidR="00201A0D" w:rsidRPr="00201A0D" w:rsidRDefault="00201A0D" w:rsidP="00201A0D">
            <w:pPr>
              <w:spacing w:after="0"/>
              <w:jc w:val="both"/>
              <w:rPr>
                <w:rFonts w:ascii="Times New Roman" w:hAnsi="Times New Roman" w:cs="Times New Roman"/>
                <w:sz w:val="20"/>
                <w:szCs w:val="20"/>
              </w:rPr>
            </w:pPr>
          </w:p>
        </w:tc>
        <w:tc>
          <w:tcPr>
            <w:tcW w:w="1276" w:type="dxa"/>
          </w:tcPr>
          <w:p w:rsidR="00201A0D" w:rsidRPr="00201A0D" w:rsidRDefault="00201A0D" w:rsidP="00201A0D">
            <w:pPr>
              <w:spacing w:after="0"/>
              <w:jc w:val="both"/>
              <w:rPr>
                <w:rFonts w:ascii="Times New Roman" w:hAnsi="Times New Roman" w:cs="Times New Roman"/>
                <w:sz w:val="20"/>
                <w:szCs w:val="20"/>
              </w:rPr>
            </w:pP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ФАП Красилово, город Валдай, ул. Песчаная, дом 1«а»,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тел. 53-163.</w:t>
            </w:r>
          </w:p>
          <w:p w:rsidR="00201A0D" w:rsidRPr="00201A0D" w:rsidRDefault="00201A0D" w:rsidP="00201A0D">
            <w:pPr>
              <w:spacing w:after="0"/>
              <w:jc w:val="both"/>
              <w:rPr>
                <w:rFonts w:ascii="Times New Roman" w:hAnsi="Times New Roman" w:cs="Times New Roman"/>
                <w:sz w:val="20"/>
                <w:szCs w:val="20"/>
              </w:rPr>
            </w:pP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ММУ Валдайская ЦРБ</w:t>
            </w:r>
          </w:p>
        </w:tc>
        <w:tc>
          <w:tcPr>
            <w:tcW w:w="87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12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42 </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Дерево</w:t>
            </w: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Удовл.</w:t>
            </w:r>
          </w:p>
        </w:tc>
      </w:tr>
      <w:tr w:rsidR="00201A0D" w:rsidRPr="00201A0D" w:rsidTr="00201A0D">
        <w:tc>
          <w:tcPr>
            <w:tcW w:w="3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ФАП Наволок, город Валдай, ул. Песчаная, дом 1«а»,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тел. 34-418</w:t>
            </w:r>
          </w:p>
          <w:p w:rsidR="00201A0D" w:rsidRPr="00201A0D" w:rsidRDefault="00201A0D" w:rsidP="00201A0D">
            <w:pPr>
              <w:spacing w:after="0"/>
              <w:jc w:val="both"/>
              <w:rPr>
                <w:rFonts w:ascii="Times New Roman" w:hAnsi="Times New Roman" w:cs="Times New Roman"/>
                <w:sz w:val="20"/>
                <w:szCs w:val="20"/>
              </w:rPr>
            </w:pPr>
          </w:p>
        </w:tc>
        <w:tc>
          <w:tcPr>
            <w:tcW w:w="152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ММУ Валдайская ЦРБ</w:t>
            </w:r>
          </w:p>
        </w:tc>
        <w:tc>
          <w:tcPr>
            <w:tcW w:w="87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12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64 </w:t>
            </w:r>
          </w:p>
        </w:tc>
        <w:tc>
          <w:tcPr>
            <w:tcW w:w="127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19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Брус, кирпич</w:t>
            </w:r>
          </w:p>
        </w:tc>
        <w:tc>
          <w:tcPr>
            <w:tcW w:w="124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Удовл.</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Данные о количестве жителей в населенных пунктах Едровского сельского поселения и расстояния от них до районного центра г.Валдай, до центра Едровского сельского поселения и до ближайшего учреждения здравоохранения представлены в таблице 2.6.4. Схема расположения объектов здравоохранения на территории поселения приведена на рис. 2.6.1.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Таблица 2.6.4.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0"/>
        <w:gridCol w:w="1625"/>
        <w:gridCol w:w="1432"/>
        <w:gridCol w:w="1432"/>
        <w:gridCol w:w="1771"/>
        <w:gridCol w:w="1721"/>
      </w:tblGrid>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населенного пункта, входящего в состав МО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постоянно проживающего населения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01.01.2012</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Расстояние до центра МО, км</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Расстояние до райцентра, км</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Расстояние до ближайшего учреждения здравоохранения, км</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 расположения ближайшего учреждения здравоохранения</w:t>
            </w:r>
          </w:p>
        </w:tc>
      </w:tr>
      <w:tr w:rsidR="00201A0D" w:rsidRPr="00201A0D" w:rsidTr="00201A0D">
        <w:tc>
          <w:tcPr>
            <w:tcW w:w="171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1355</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г.Валдай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Афанасово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с.Едрово</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д.Бель</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46</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с.Едрово</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49</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д.Красилово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с.Едрово</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Гвоздки</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29</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д.Наволок</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106</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15 </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г.Валдай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111</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с.Едрово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Костелёво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31</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д.Наволок</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55 </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31</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д.Наволок</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Марково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45</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д.Наволок</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58</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29 </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д.Наволок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Новинка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8 </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с.Едрово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Плав</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46</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с.Едрово</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13 </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с.Едрово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д.Красилово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с.Едрово</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с.Едрово</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46</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32 </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д.Наволок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д.Наволок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д.Наволок </w:t>
            </w:r>
          </w:p>
        </w:tc>
      </w:tr>
      <w:tr w:rsidR="00201A0D" w:rsidRPr="00201A0D" w:rsidTr="00201A0D">
        <w:tc>
          <w:tcPr>
            <w:tcW w:w="1719"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1725"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w:t>
            </w:r>
          </w:p>
        </w:tc>
        <w:tc>
          <w:tcPr>
            <w:tcW w:w="169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w:t>
            </w:r>
          </w:p>
        </w:tc>
        <w:tc>
          <w:tcPr>
            <w:tcW w:w="182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771"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д.Наволок</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 населенные пункты поселения, кроме не имеющих постоянных жителей, обеспечены проводной и сотовой телефонной связью, что позволяет в случае необходимости осуществить вызов экстренных служб. Большинство населенных пунктов поселения имеют весьма удовлетворительное транспортное (автомобильное) сообщение. Маршруты общественного транспорта имеются до следующих населенных пунктов: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 Санкт-Петербург – д. Добывалово – д. Старая Ситенка – д. Новая Ситенка - с. Едрово – г. Москва;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 – д. Харитониха – д. Гвоздки – д. Наволок – д. Старина – д. Ванютино – д. Бель – д. Речка – д. Новинка – д. Красилово – д. Семенова Гора – д. Марково – д. Плав.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Остановки общественного транспорта располагаются в следующих населенных пунктах на территории поселения: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Бель - д. Ванютино - д. Добывалово - д. Красилово - д. Старая Ситенка - д. Новая Ситенка - д. Новинка - д. Речка - д. Старая Ситенка - с. Едрово (3 шт.) - д. Старина.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планируется создание новых маршрутов общественного транспорта (или продление существующих маршрутов), которые позволят охватить все насел</w:t>
      </w:r>
      <w:r w:rsidR="00A51C94">
        <w:rPr>
          <w:rFonts w:ascii="Times New Roman" w:hAnsi="Times New Roman" w:cs="Times New Roman"/>
          <w:sz w:val="20"/>
          <w:szCs w:val="20"/>
        </w:rPr>
        <w:t>е</w:t>
      </w:r>
      <w:r w:rsidRPr="00201A0D">
        <w:rPr>
          <w:rFonts w:ascii="Times New Roman" w:hAnsi="Times New Roman" w:cs="Times New Roman"/>
          <w:sz w:val="20"/>
          <w:szCs w:val="20"/>
        </w:rPr>
        <w:t>нные пункты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 д. Большое Носакино;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д. Ванютино – д. Старово;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Старина – д. Костелево – д. Селище – д. Афанасово;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Наволок – д. Макушино – д. Труфаново;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Харитониха – д. Рядчино – д. Зеленая Роща.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планируется размещение остановок общественного транспорта в населенных пунктах: д. Афанасово, д. Большое Носакино, д. Гвоздки, д. Зеленая Роща, д. Костелево, д. Макушино, д. Марково, д. Наволок, д. Плав, д. Рядчино, д. Селище, д. Семенова Гора, д. Старово, д. Труфаново, д. Харитониха. А также размещение автостанции в д. Большое Носакино.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планируется размещение вертолетной площадки в с. Едрово.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Практически все населенные пункты поселения находятся на расстоянии менее  15 от ближайших  учреждений здравоохранения. Следует однако отметить, что уровень медицинской помощи в этих учреждениях является недостаточным, так как в учреждениях здравоохранения поселения работает только 1 врач и 6 специалистов со средним медицинским образованием. Уровень обеспеченности населения Валдайского муниципального района и Едровского сельского поселения недостаточен.  Обеспеченность врачами составляет 34,7 человека на 10,0 тыс. населения, имеет тенденцию к уменьшению и остается значительно ниже, чем в Российской Федерации и СЗФО. Обеспеченность врачами клинических специальностей составляет 23,7 врача на 10,0 тыс. населения / ПРОГРАММА "РАЗВИТИЕ ЗДРАВООХРАНЕНИЯ НОВГОРОДСКОЙ ОБЛАСТИ НА 2013 - 2020 ГОДЫ". Утверждена постановлением Администрации области от 29.04.2013 № 259/. Вместе с тем по числу больничных коек (144,8 на 10000 жителей)  Валдайский район заметно превосходит средние показатели по области (98,7 коек на 10000 жителей).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Вся система здравоохранения Валдайского района в рамках программы «Развитие здравоохранения Новгородской области на 2013-2020 годы» предусматривает четкий порядок работы с населением в рамках следующей схемы маршрутизации больных:</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│ФАП,├──────────────&gt;│  Межрайонный  ├─────────&gt;│ Областная больница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ФП │               │  медицинский  │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     Центр     │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 │                └───────┬───────┘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  \/               ┌───────/\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│ЦОВП├───────┘                                  │ Федеральный центр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     учреждения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  здравоохранения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целях оказания гражданам первичной медико-санитарной помощи при внезапных острых заболеваниях, состояниях, обострении хронических заболеваний, не сопровождающихся угрозой жизни пациента и не требующих экстренной медицинской помощи, будет продолжено развитие отделений неотложной медицинской помощи, в частности  будет увеличено количество выездных бригад подстанций скорой медицинской помощи.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noProof/>
          <w:sz w:val="20"/>
          <w:szCs w:val="20"/>
        </w:rPr>
        <w:lastRenderedPageBreak/>
        <w:drawing>
          <wp:inline distT="0" distB="0" distL="0" distR="0">
            <wp:extent cx="5996305" cy="8498840"/>
            <wp:effectExtent l="19050" t="0" r="4445" b="0"/>
            <wp:docPr id="9" name="Рисунок 9" descr="Медицинское обслужи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дицинское обслуживание"/>
                    <pic:cNvPicPr>
                      <a:picLocks noChangeAspect="1" noChangeArrowheads="1"/>
                    </pic:cNvPicPr>
                  </pic:nvPicPr>
                  <pic:blipFill>
                    <a:blip r:embed="rId59"/>
                    <a:srcRect/>
                    <a:stretch>
                      <a:fillRect/>
                    </a:stretch>
                  </pic:blipFill>
                  <pic:spPr bwMode="auto">
                    <a:xfrm>
                      <a:off x="0" y="0"/>
                      <a:ext cx="5996305" cy="8498840"/>
                    </a:xfrm>
                    <a:prstGeom prst="rect">
                      <a:avLst/>
                    </a:prstGeom>
                    <a:noFill/>
                    <a:ln w="9525">
                      <a:noFill/>
                      <a:miter lim="800000"/>
                      <a:headEnd/>
                      <a:tailEnd/>
                    </a:ln>
                  </pic:spPr>
                </pic:pic>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2.6.1. Схема размещения объектов здравоохранения на территории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Генеральным планом на расчетный срок в связи с запланированным интенсивным развитием деревни Большое Носакино (увеличение численности жителей на 1867 человек) предусмотрено строительство </w:t>
      </w:r>
      <w:r w:rsidRPr="00201A0D">
        <w:rPr>
          <w:rFonts w:ascii="Times New Roman" w:hAnsi="Times New Roman" w:cs="Times New Roman"/>
          <w:sz w:val="20"/>
          <w:szCs w:val="20"/>
        </w:rPr>
        <w:lastRenderedPageBreak/>
        <w:t>учреждения здравоохранения мощностью  -  48 посещений в смену и 35 койко-мест (подробнее материалы рассмотрены в разделах 3 и 5).</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Выше указанной программой на период до 2020 года предусмотрено: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обеспеченность врачами увеличить до  40,2 врачей на 10 тыс. населения;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количество среднего медицинского персонала, приходящегося на 1 врача, должно составить 3 человека;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доля выездов бригад скорой медицинской помощи со временем доезда до больного менее 20 минут должно быть доведено до 90 процентов (с 72,0 % в 2012 году).</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 Новгородской области предусматривается  реформировать систему первичной медико-санитарной помощи населению, в рамках чего  на первый план выходят задачи: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изменению системы оказания помощи сельскому населению;</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модернизации существующих учреждений и их подразделений;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выстраиванию потоков пациентов с формированием единых принципов маршрутизации;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развитию новых форм оказания медицинской помощи - стационар замещающих и выездных методов работы;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развитию неотложной помощи на базе поликлинических подразделений;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совершенствованию принципов взаимодействия со стационарными учреждениями и подразделениями скорой медицинской помощи.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Выстраивание современной системы оказания первичной медико-санитарной помощи населению должно включать как самые малочисленные населенные пункты, так и крупные города.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целях достижения максимального приближения первой помощи сельскому населению в населенных пунктах с численностью менее 100 человек (где нет ФАП) будут создаваться домовые хозяйства, запланировано обучение ответственных лиц, на которых будут возложены функции оказания первой помощи (само- и взаимопомощь).</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Данные Росстата по системе образования и просвещения Едровского сельского поселения представлены в таблице 2.6.5.</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2.6.5.</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Система образования и просвещения*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725"/>
        <w:gridCol w:w="1092"/>
        <w:gridCol w:w="764"/>
        <w:gridCol w:w="762"/>
        <w:gridCol w:w="762"/>
        <w:gridCol w:w="760"/>
        <w:gridCol w:w="760"/>
        <w:gridCol w:w="760"/>
      </w:tblGrid>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дошкольных образовательных организаций на конец отчетного года</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мест в дошкольных образовательных организациях на конец отчетного года</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детей, посещающих дошкольные образовательные организации, на конец отчетного года</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69</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57</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детей, состоящих на учете для определения в дошкольные образовательные организации, на конец отчетного года</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общеобразовательных организаций (без вечерних (сменных) общеобразовательных организаций) на начало учебного года</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обучающихся общеобразовательных организаций (без вечерних (сменных) общеобразовательных организаций) с учетом структурных подразделений (филиалов)</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57</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поселение, Росстат.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http://www.gks.ru/dbscripts/munst/munst.htm </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2.6.6.</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Организация отдыха, развлечений и культуры*</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720"/>
        <w:gridCol w:w="1089"/>
        <w:gridCol w:w="764"/>
        <w:gridCol w:w="764"/>
        <w:gridCol w:w="764"/>
        <w:gridCol w:w="762"/>
        <w:gridCol w:w="762"/>
        <w:gridCol w:w="760"/>
      </w:tblGrid>
      <w:tr w:rsidR="00201A0D" w:rsidRPr="00201A0D" w:rsidTr="00201A0D">
        <w:trPr>
          <w:cantSplit/>
          <w:tblHeader/>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учреждений культурно-досугового типа</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работников учреждений культурно-досугового типа с учетом структурных подразделений (филиалов), всего</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специалистов культурно-досуговой деятельности с учетом структурных подразделений (филиалов)</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библиотек</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работников библиотек с учетом структурных подразделений (филиалов), всего</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библиотечных работников с учетом структурных подразделений (филиалов)</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201A0D">
        <w:trPr>
          <w:cantSplit/>
        </w:trPr>
        <w:tc>
          <w:tcPr>
            <w:tcW w:w="19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кинотеатров и киноустановок</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поселение, Росстат.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http://www.gks.ru/dbscripts/munst/munst.htm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2.6.7.</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Физическая культура и спорт*</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716"/>
        <w:gridCol w:w="1089"/>
        <w:gridCol w:w="764"/>
        <w:gridCol w:w="762"/>
        <w:gridCol w:w="762"/>
        <w:gridCol w:w="764"/>
        <w:gridCol w:w="764"/>
        <w:gridCol w:w="764"/>
      </w:tblGrid>
      <w:tr w:rsidR="00201A0D" w:rsidRPr="00201A0D" w:rsidTr="00201A0D">
        <w:tc>
          <w:tcPr>
            <w:tcW w:w="19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c>
          <w:tcPr>
            <w:tcW w:w="4186"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спортивных сооружений</w:t>
            </w: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c>
          <w:tcPr>
            <w:tcW w:w="19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спортивные залы</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4186"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муниципальных спортивных сооружений</w:t>
            </w: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r>
      <w:tr w:rsidR="00201A0D" w:rsidRPr="00201A0D" w:rsidTr="00201A0D">
        <w:tc>
          <w:tcPr>
            <w:tcW w:w="1980"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спортивные залы</w:t>
            </w:r>
          </w:p>
        </w:tc>
        <w:tc>
          <w:tcPr>
            <w:tcW w:w="580"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7"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поселение, Росстат.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http://www.gks.ru/dbscripts/munst/munst.htm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2.6.8.</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Торговля и общественное питание*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723"/>
        <w:gridCol w:w="1085"/>
        <w:gridCol w:w="766"/>
        <w:gridCol w:w="766"/>
        <w:gridCol w:w="773"/>
        <w:gridCol w:w="758"/>
        <w:gridCol w:w="758"/>
        <w:gridCol w:w="756"/>
      </w:tblGrid>
      <w:tr w:rsidR="00201A0D" w:rsidRPr="00201A0D" w:rsidTr="00201A0D">
        <w:trPr>
          <w:cantSplit/>
          <w:tblHeader/>
        </w:trPr>
        <w:tc>
          <w:tcPr>
            <w:tcW w:w="1983"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12"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rPr>
          <w:cantSplit/>
        </w:trPr>
        <w:tc>
          <w:tcPr>
            <w:tcW w:w="4193" w:type="pct"/>
            <w:gridSpan w:val="6"/>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Количество объектов розничной торговли и общественного питания</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магазины (без торговых центров)</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r>
      <w:tr w:rsidR="00201A0D" w:rsidRPr="00201A0D" w:rsidTr="00201A0D">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cantSplit/>
        </w:trPr>
        <w:tc>
          <w:tcPr>
            <w:tcW w:w="1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неспециализированные продовольственные магазины (минимаркеты)</w:t>
            </w:r>
          </w:p>
        </w:tc>
        <w:tc>
          <w:tcPr>
            <w:tcW w:w="57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tcBorders>
              <w:top w:val="single" w:sz="8" w:space="0" w:color="000000"/>
              <w:left w:val="single" w:sz="8" w:space="0" w:color="000000"/>
              <w:bottom w:val="single" w:sz="8" w:space="0" w:color="000000"/>
              <w:right w:val="single" w:sz="4" w:space="0" w:color="auto"/>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8"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12"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403"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r>
      <w:tr w:rsidR="00201A0D" w:rsidRPr="00201A0D" w:rsidTr="00201A0D">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cantSplit/>
        </w:trPr>
        <w:tc>
          <w:tcPr>
            <w:tcW w:w="1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неспециализированные непродовольственные магазины</w:t>
            </w:r>
          </w:p>
        </w:tc>
        <w:tc>
          <w:tcPr>
            <w:tcW w:w="57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tcBorders>
              <w:top w:val="single" w:sz="8" w:space="0" w:color="000000"/>
              <w:left w:val="single" w:sz="8" w:space="0" w:color="000000"/>
              <w:bottom w:val="single" w:sz="8" w:space="0" w:color="000000"/>
              <w:right w:val="single" w:sz="4" w:space="0" w:color="auto"/>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8"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12"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404" w:type="pct"/>
            <w:tcBorders>
              <w:top w:val="single" w:sz="8" w:space="0" w:color="000000"/>
              <w:left w:val="single" w:sz="4" w:space="0" w:color="auto"/>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403" w:type="pct"/>
            <w:tcBorders>
              <w:top w:val="single" w:sz="8" w:space="0" w:color="000000"/>
              <w:left w:val="single" w:sz="4" w:space="0" w:color="auto"/>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c>
          <w:tcPr>
            <w:tcW w:w="1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палатки и киоски</w:t>
            </w:r>
          </w:p>
        </w:tc>
        <w:tc>
          <w:tcPr>
            <w:tcW w:w="57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tcBorders>
              <w:top w:val="single" w:sz="8" w:space="0" w:color="000000"/>
              <w:left w:val="single" w:sz="8" w:space="0" w:color="000000"/>
              <w:bottom w:val="single" w:sz="8" w:space="0" w:color="000000"/>
              <w:right w:val="single" w:sz="4" w:space="0" w:color="auto"/>
            </w:tcBorders>
            <w:vAlign w:val="center"/>
            <w:hideMark/>
          </w:tcPr>
          <w:p w:rsidR="00201A0D" w:rsidRPr="00201A0D" w:rsidRDefault="00201A0D" w:rsidP="00201A0D">
            <w:pPr>
              <w:spacing w:after="0"/>
              <w:jc w:val="both"/>
              <w:rPr>
                <w:rFonts w:ascii="Times New Roman" w:hAnsi="Times New Roman" w:cs="Times New Roman"/>
                <w:sz w:val="20"/>
                <w:szCs w:val="20"/>
              </w:rPr>
            </w:pPr>
          </w:p>
        </w:tc>
        <w:tc>
          <w:tcPr>
            <w:tcW w:w="408"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p>
        </w:tc>
        <w:tc>
          <w:tcPr>
            <w:tcW w:w="412"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403"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павильоны</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общедоступные столовые, закусочные</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столовые учебных заведений, организаций, промышленных предприятий</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8"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12"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4"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рестораны, кафе, бары</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автозаправочные станции</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4193" w:type="pct"/>
            <w:gridSpan w:val="6"/>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торгового зала объектов розничной торговли</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магазины (без торговых центров)</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883,6</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1440,6</w:t>
            </w:r>
          </w:p>
        </w:tc>
        <w:tc>
          <w:tcPr>
            <w:tcW w:w="412"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1441</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1441</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1441</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1441</w:t>
            </w:r>
          </w:p>
        </w:tc>
      </w:tr>
      <w:tr w:rsidR="00201A0D" w:rsidRPr="00201A0D" w:rsidTr="00201A0D">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cantSplit/>
        </w:trPr>
        <w:tc>
          <w:tcPr>
            <w:tcW w:w="1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неспециализированные продовольственные магазины (минимаркеты)</w:t>
            </w:r>
          </w:p>
        </w:tc>
        <w:tc>
          <w:tcPr>
            <w:tcW w:w="57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tcBorders>
              <w:top w:val="single" w:sz="8" w:space="0" w:color="000000"/>
              <w:left w:val="single" w:sz="8" w:space="0" w:color="000000"/>
              <w:bottom w:val="single" w:sz="8" w:space="0" w:color="000000"/>
              <w:right w:val="single" w:sz="4" w:space="0" w:color="auto"/>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8"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12"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1234</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1234</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1234</w:t>
            </w:r>
          </w:p>
        </w:tc>
        <w:tc>
          <w:tcPr>
            <w:tcW w:w="403"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201A0D">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cantSplit/>
        </w:trPr>
        <w:tc>
          <w:tcPr>
            <w:tcW w:w="1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неспециализированные непродовольственные магазины</w:t>
            </w:r>
          </w:p>
        </w:tc>
        <w:tc>
          <w:tcPr>
            <w:tcW w:w="57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tcBorders>
              <w:top w:val="single" w:sz="8" w:space="0" w:color="000000"/>
              <w:left w:val="single" w:sz="8" w:space="0" w:color="000000"/>
              <w:bottom w:val="single" w:sz="8" w:space="0" w:color="000000"/>
              <w:right w:val="single" w:sz="4" w:space="0" w:color="auto"/>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8"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12"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207</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207</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207</w:t>
            </w:r>
          </w:p>
        </w:tc>
        <w:tc>
          <w:tcPr>
            <w:tcW w:w="403"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207</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павильоны</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412"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r>
      <w:tr w:rsidR="00201A0D" w:rsidRPr="00201A0D" w:rsidTr="00201A0D">
        <w:trPr>
          <w:cantSplit/>
        </w:trPr>
        <w:tc>
          <w:tcPr>
            <w:tcW w:w="4193" w:type="pct"/>
            <w:gridSpan w:val="6"/>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зала обслуживания посетителей в объектах общественного питания</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общедоступные столовые, закусочные</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41</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101</w:t>
            </w:r>
          </w:p>
        </w:tc>
        <w:tc>
          <w:tcPr>
            <w:tcW w:w="412"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101</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PrEx>
        <w:trPr>
          <w:cantSplit/>
        </w:trPr>
        <w:tc>
          <w:tcPr>
            <w:tcW w:w="1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столовые учебных заведений, организаций, промышленных предприятий</w:t>
            </w:r>
          </w:p>
        </w:tc>
        <w:tc>
          <w:tcPr>
            <w:tcW w:w="578"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tcBorders>
              <w:top w:val="single" w:sz="8" w:space="0" w:color="000000"/>
              <w:left w:val="single" w:sz="8" w:space="0" w:color="000000"/>
              <w:bottom w:val="single" w:sz="8" w:space="0" w:color="000000"/>
              <w:right w:val="single" w:sz="4" w:space="0" w:color="auto"/>
            </w:tcBorders>
            <w:vAlign w:val="center"/>
            <w:hideMark/>
          </w:tcPr>
          <w:p w:rsidR="00201A0D" w:rsidRPr="00201A0D" w:rsidRDefault="00201A0D" w:rsidP="00201A0D">
            <w:pPr>
              <w:spacing w:after="0"/>
              <w:jc w:val="both"/>
              <w:rPr>
                <w:rFonts w:ascii="Times New Roman" w:hAnsi="Times New Roman" w:cs="Times New Roman"/>
                <w:sz w:val="20"/>
                <w:szCs w:val="20"/>
              </w:rPr>
            </w:pPr>
          </w:p>
        </w:tc>
        <w:tc>
          <w:tcPr>
            <w:tcW w:w="408"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w:t>
            </w:r>
          </w:p>
        </w:tc>
        <w:tc>
          <w:tcPr>
            <w:tcW w:w="412" w:type="pct"/>
            <w:tcBorders>
              <w:top w:val="single" w:sz="8" w:space="0" w:color="000000"/>
              <w:left w:val="single" w:sz="4" w:space="0" w:color="auto"/>
              <w:bottom w:val="single" w:sz="8" w:space="0" w:color="000000"/>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w:t>
            </w:r>
          </w:p>
        </w:tc>
        <w:tc>
          <w:tcPr>
            <w:tcW w:w="404"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71</w:t>
            </w:r>
          </w:p>
        </w:tc>
        <w:tc>
          <w:tcPr>
            <w:tcW w:w="403" w:type="pct"/>
            <w:tcBorders>
              <w:top w:val="single" w:sz="8" w:space="0" w:color="000000"/>
              <w:left w:val="single" w:sz="4" w:space="0" w:color="auto"/>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71</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рестораны, кафе, бары</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 квадратный</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437,6</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437,6</w:t>
            </w:r>
          </w:p>
        </w:tc>
        <w:tc>
          <w:tcPr>
            <w:tcW w:w="412"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677</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677</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647</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697</w:t>
            </w:r>
          </w:p>
        </w:tc>
      </w:tr>
      <w:tr w:rsidR="00201A0D" w:rsidRPr="00201A0D" w:rsidTr="00201A0D">
        <w:trPr>
          <w:cantSplit/>
        </w:trPr>
        <w:tc>
          <w:tcPr>
            <w:tcW w:w="4193" w:type="pct"/>
            <w:gridSpan w:val="6"/>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мест в объектах общественного питания</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общедоступные столовые, закусочные</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w:t>
            </w:r>
          </w:p>
        </w:tc>
        <w:tc>
          <w:tcPr>
            <w:tcW w:w="404" w:type="pct"/>
          </w:tcPr>
          <w:p w:rsidR="00201A0D" w:rsidRPr="00201A0D" w:rsidRDefault="00201A0D" w:rsidP="00201A0D">
            <w:pPr>
              <w:spacing w:after="0"/>
              <w:jc w:val="both"/>
              <w:rPr>
                <w:rFonts w:ascii="Times New Roman" w:hAnsi="Times New Roman" w:cs="Times New Roman"/>
                <w:sz w:val="20"/>
                <w:szCs w:val="20"/>
              </w:rPr>
            </w:pPr>
          </w:p>
        </w:tc>
        <w:tc>
          <w:tcPr>
            <w:tcW w:w="403" w:type="pct"/>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столовые учебных заведений, организаций, промышленных предприятий</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8"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412"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404"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w:t>
            </w:r>
          </w:p>
        </w:tc>
      </w:tr>
      <w:tr w:rsidR="00201A0D" w:rsidRPr="00201A0D" w:rsidTr="00201A0D">
        <w:trPr>
          <w:cantSplit/>
        </w:trPr>
        <w:tc>
          <w:tcPr>
            <w:tcW w:w="198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рестораны, кафе, бары</w:t>
            </w:r>
          </w:p>
        </w:tc>
        <w:tc>
          <w:tcPr>
            <w:tcW w:w="57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w:t>
            </w:r>
          </w:p>
        </w:tc>
        <w:tc>
          <w:tcPr>
            <w:tcW w:w="408" w:type="pct"/>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168</w:t>
            </w:r>
          </w:p>
        </w:tc>
        <w:tc>
          <w:tcPr>
            <w:tcW w:w="40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168</w:t>
            </w:r>
          </w:p>
        </w:tc>
        <w:tc>
          <w:tcPr>
            <w:tcW w:w="412"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223</w:t>
            </w:r>
          </w:p>
        </w:tc>
        <w:tc>
          <w:tcPr>
            <w:tcW w:w="404"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223</w:t>
            </w:r>
          </w:p>
        </w:tc>
        <w:tc>
          <w:tcPr>
            <w:tcW w:w="40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223</w:t>
            </w:r>
          </w:p>
        </w:tc>
        <w:tc>
          <w:tcPr>
            <w:tcW w:w="403"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243</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поселение, Росстат.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http://www.gks.ru/dbscripts/munst/munst.htm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2.6.9.</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Бытовое обслуживание населения*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725"/>
        <w:gridCol w:w="1092"/>
        <w:gridCol w:w="764"/>
        <w:gridCol w:w="762"/>
        <w:gridCol w:w="762"/>
        <w:gridCol w:w="760"/>
        <w:gridCol w:w="760"/>
        <w:gridCol w:w="760"/>
      </w:tblGrid>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bookmarkStart w:id="24" w:name="_Toc363654771"/>
            <w:r w:rsidRPr="00201A0D">
              <w:rPr>
                <w:rFonts w:ascii="Times New Roman" w:hAnsi="Times New Roman" w:cs="Times New Roman"/>
                <w:sz w:val="20"/>
                <w:szCs w:val="20"/>
              </w:rPr>
              <w:t>Показатели</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c>
          <w:tcPr>
            <w:tcW w:w="4190" w:type="pct"/>
            <w:gridSpan w:val="6"/>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объектов бытового обслуживания населения, оказывающих услуги</w:t>
            </w: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техническое обслуживание и ремонт транспортных средств, машин и оборудования</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бани, душевые и сауны</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парикмахерские и косметические услуги</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Единовременная вместимость бань, душевых и саун</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198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кресел в парикмахерских</w:t>
            </w:r>
          </w:p>
        </w:tc>
        <w:tc>
          <w:tcPr>
            <w:tcW w:w="58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07"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6"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05"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 по данным Паспорта муниципального образования Едровского сельского поселение, Росстат.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http://www.gks.ru/dbscripts/munst/munst.htm </w:t>
      </w:r>
    </w:p>
    <w:p w:rsidR="00201A0D" w:rsidRPr="00201A0D" w:rsidRDefault="00201A0D" w:rsidP="00201A0D">
      <w:pPr>
        <w:spacing w:after="0"/>
        <w:jc w:val="both"/>
        <w:rPr>
          <w:rFonts w:ascii="Times New Roman" w:hAnsi="Times New Roman" w:cs="Times New Roman"/>
          <w:sz w:val="20"/>
          <w:szCs w:val="20"/>
        </w:rPr>
      </w:pPr>
      <w:bookmarkStart w:id="25" w:name="_Toc433382418"/>
      <w:r w:rsidRPr="00201A0D">
        <w:rPr>
          <w:rFonts w:ascii="Times New Roman" w:hAnsi="Times New Roman" w:cs="Times New Roman"/>
          <w:sz w:val="20"/>
          <w:szCs w:val="20"/>
        </w:rPr>
        <w:t>2.7. Инженерная инфраструктура</w:t>
      </w:r>
      <w:bookmarkEnd w:id="24"/>
      <w:r w:rsidRPr="00201A0D">
        <w:rPr>
          <w:rFonts w:ascii="Times New Roman" w:hAnsi="Times New Roman" w:cs="Times New Roman"/>
          <w:sz w:val="20"/>
          <w:szCs w:val="20"/>
        </w:rPr>
        <w:t>.</w:t>
      </w:r>
      <w:bookmarkEnd w:id="25"/>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Едровского сельского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показатели инженерного обеспечения населенных пунктов поселения (по данным Росгосстата РФ) приведены в таблице 2.7.1.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2.7.1.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3320"/>
        <w:gridCol w:w="1030"/>
        <w:gridCol w:w="840"/>
        <w:gridCol w:w="840"/>
        <w:gridCol w:w="840"/>
        <w:gridCol w:w="840"/>
        <w:gridCol w:w="841"/>
        <w:gridCol w:w="834"/>
      </w:tblGrid>
      <w:tr w:rsidR="00201A0D" w:rsidRPr="00201A0D" w:rsidTr="00201A0D">
        <w:trPr>
          <w:cantSplit/>
          <w:tblHeader/>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Одиночное протяжение уличной газовой сети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10370</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11062</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Количество негазифицированных населенных пунктов</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источников теплоснабжения</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источников теплоснабжения мощностью до 3 Гкал/ч</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единица</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тепловых и паровых сетей в двухтрубном исчислении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1763</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1763</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тепловых и паровых сетей в двухтрубном исчислении, нуждающихся в замене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1154</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1154</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Одиночное протяжение уличной водопроводной сети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10893</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10893</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Одиночное протяжение уличной водопроводной сети, нуждающейся в замене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700</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1050</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Одиночное протяжение уличной водопроводной сети, которая заменена и отремонтирована за отчетный год</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422</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610</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Одиночное протяжение уличной канализационной сети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2199</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2199</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Одиночное протяжение уличной канализационной сети, нуждающейся в замене (до 2008 г. - км)</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метр</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850</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Общая площадь жилых помещений</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квадратных метров</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63,6</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63,5</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64,7</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65,2</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59,6</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59,8</w:t>
            </w: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Общая площадь жилых помещений в ветхих и аварийных жилых домах</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квадратных метров</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p>
        </w:tc>
        <w:tc>
          <w:tcPr>
            <w:tcW w:w="453"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49"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проживающих в ветхих жилых домах</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w:t>
            </w:r>
          </w:p>
        </w:tc>
        <w:tc>
          <w:tcPr>
            <w:tcW w:w="453"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c>
          <w:tcPr>
            <w:tcW w:w="449" w:type="pct"/>
            <w:tcBorders>
              <w:top w:val="single" w:sz="8" w:space="0" w:color="000000"/>
              <w:left w:val="single" w:sz="8" w:space="0" w:color="000000"/>
              <w:bottom w:val="single" w:sz="8" w:space="0" w:color="000000"/>
              <w:right w:val="single" w:sz="8" w:space="0" w:color="000000"/>
            </w:tcBorders>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1774"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Число проживающих в аварийных жилых домах</w:t>
            </w:r>
          </w:p>
        </w:tc>
        <w:tc>
          <w:tcPr>
            <w:tcW w:w="512"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человек</w:t>
            </w:r>
          </w:p>
        </w:tc>
        <w:tc>
          <w:tcPr>
            <w:tcW w:w="453" w:type="pct"/>
            <w:tcBorders>
              <w:top w:val="single" w:sz="8" w:space="0" w:color="000000"/>
              <w:left w:val="single" w:sz="8" w:space="0" w:color="000000"/>
              <w:bottom w:val="single" w:sz="8" w:space="0" w:color="000000"/>
              <w:right w:val="single" w:sz="8" w:space="0" w:color="000000"/>
            </w:tcBorders>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w:t>
            </w:r>
          </w:p>
        </w:tc>
        <w:tc>
          <w:tcPr>
            <w:tcW w:w="453"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449" w:type="pct"/>
            <w:tcBorders>
              <w:top w:val="single" w:sz="8" w:space="0" w:color="000000"/>
              <w:left w:val="single" w:sz="8" w:space="0" w:color="000000"/>
              <w:bottom w:val="single" w:sz="8" w:space="0" w:color="000000"/>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 данным Паспорта муниципального образования Едровского сельского поселение, Росстат.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http://www.gks.ru/dbscripts/munst/munst.htm </w:t>
      </w:r>
    </w:p>
    <w:p w:rsidR="00201A0D" w:rsidRPr="00201A0D" w:rsidRDefault="00201A0D" w:rsidP="00201A0D">
      <w:pPr>
        <w:spacing w:after="0"/>
        <w:jc w:val="both"/>
        <w:rPr>
          <w:rFonts w:ascii="Times New Roman" w:hAnsi="Times New Roman" w:cs="Times New Roman"/>
          <w:sz w:val="20"/>
          <w:szCs w:val="20"/>
        </w:rPr>
      </w:pPr>
      <w:bookmarkStart w:id="26" w:name="_Toc433382419"/>
      <w:r w:rsidRPr="00201A0D">
        <w:rPr>
          <w:rFonts w:ascii="Times New Roman" w:hAnsi="Times New Roman" w:cs="Times New Roman"/>
          <w:sz w:val="20"/>
          <w:szCs w:val="20"/>
        </w:rPr>
        <w:t>2.8. Производственная инфраструктура</w:t>
      </w:r>
      <w:bookmarkEnd w:id="26"/>
      <w:r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Промышленный комплекс в основном представлен фермерскими хозяйствами и производствами, занимающимися добычей полезных ископаемых.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Предприятий, намечаемых к выносу из поселения, нет.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перспективе планируется развитие с. Едрово: животноводство (КРС 2 тыс.), свинокомплекс (10 тыс.), переработка древесины 50 тыс. куб.м в год.</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По данным паспорта муниципального образования Едровского сельского поселения, (Росстат , </w:t>
      </w:r>
      <w:hyperlink r:id="rId60" w:history="1">
        <w:r w:rsidRPr="00201A0D">
          <w:rPr>
            <w:rFonts w:ascii="Times New Roman" w:hAnsi="Times New Roman" w:cs="Times New Roman"/>
            <w:sz w:val="20"/>
            <w:szCs w:val="20"/>
          </w:rPr>
          <w:t>http://www.gks.ru/dbscripts/munst/munst.htm</w:t>
        </w:r>
      </w:hyperlink>
      <w:r w:rsidRPr="00201A0D">
        <w:rPr>
          <w:rFonts w:ascii="Times New Roman" w:hAnsi="Times New Roman" w:cs="Times New Roman"/>
          <w:sz w:val="20"/>
          <w:szCs w:val="20"/>
        </w:rPr>
        <w:t>) развитие поселения характеризуется заметными колебаниями и зависит от ситуации в экономике страны. Кризисные события 2008 и 2013-2014 годов привели к снижению доходов и расходов бюджета поселения (табл.2.8.1. и рис.2.8.1. и 2.8.2.). Доходы бюджета поселения в 2014 году упали ниже уровня 2008 года и составили всего 89,4% от уровня 2008 года. Хотя без учета данных 2014 года в целом имеет место постепенный рост и доходов и расходов в бюджете поселения. За последние 7 лет бюджет поселения  был 3 раза дефицитным (в 2009, 2010 и 2013 годах), в то время как бюджет Валдайского муниципального поселения являлся постоянно дефицитным, кроме 2013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2.8.1.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показатели бюджета Едровского сельского поселения в 2008-2014 годах.</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23"/>
        <w:gridCol w:w="927"/>
        <w:gridCol w:w="990"/>
        <w:gridCol w:w="991"/>
        <w:gridCol w:w="991"/>
        <w:gridCol w:w="991"/>
        <w:gridCol w:w="991"/>
        <w:gridCol w:w="991"/>
        <w:gridCol w:w="989"/>
      </w:tblGrid>
      <w:tr w:rsidR="00201A0D" w:rsidRPr="00201A0D" w:rsidTr="00201A0D">
        <w:trPr>
          <w:trHeight w:val="402"/>
        </w:trPr>
        <w:tc>
          <w:tcPr>
            <w:tcW w:w="813"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484"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2008</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52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52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rPr>
          <w:trHeight w:val="514"/>
        </w:trPr>
        <w:tc>
          <w:tcPr>
            <w:tcW w:w="813"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Доходы местного бюджета</w:t>
            </w:r>
          </w:p>
        </w:tc>
        <w:tc>
          <w:tcPr>
            <w:tcW w:w="484"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рублей</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9084,0</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7913,4</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10614,6</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11534,8</w:t>
            </w:r>
          </w:p>
        </w:tc>
        <w:tc>
          <w:tcPr>
            <w:tcW w:w="52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9967,9</w:t>
            </w:r>
          </w:p>
        </w:tc>
        <w:tc>
          <w:tcPr>
            <w:tcW w:w="52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13123,3</w:t>
            </w:r>
          </w:p>
        </w:tc>
        <w:tc>
          <w:tcPr>
            <w:tcW w:w="52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8118,3</w:t>
            </w:r>
          </w:p>
        </w:tc>
      </w:tr>
      <w:tr w:rsidR="00201A0D" w:rsidRPr="00201A0D" w:rsidTr="00201A0D">
        <w:trPr>
          <w:trHeight w:val="448"/>
        </w:trPr>
        <w:tc>
          <w:tcPr>
            <w:tcW w:w="81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Расходы местного бюджета</w:t>
            </w:r>
          </w:p>
        </w:tc>
        <w:tc>
          <w:tcPr>
            <w:tcW w:w="484"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рублей</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8851,0</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8110,9</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10626,6</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11288,3</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9697,9</w:t>
            </w:r>
          </w:p>
        </w:tc>
        <w:tc>
          <w:tcPr>
            <w:tcW w:w="52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13197,5</w:t>
            </w:r>
          </w:p>
        </w:tc>
        <w:tc>
          <w:tcPr>
            <w:tcW w:w="52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8014,2</w:t>
            </w:r>
          </w:p>
        </w:tc>
      </w:tr>
      <w:tr w:rsidR="00201A0D" w:rsidRPr="00201A0D" w:rsidTr="00201A0D">
        <w:tc>
          <w:tcPr>
            <w:tcW w:w="813"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Профицит, дефицит (-)</w:t>
            </w:r>
          </w:p>
        </w:tc>
        <w:tc>
          <w:tcPr>
            <w:tcW w:w="484"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рублей</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233,0</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-197,5</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-12,0</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246,5</w:t>
            </w:r>
          </w:p>
        </w:tc>
        <w:tc>
          <w:tcPr>
            <w:tcW w:w="52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270,0</w:t>
            </w:r>
          </w:p>
        </w:tc>
        <w:tc>
          <w:tcPr>
            <w:tcW w:w="52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-74,2</w:t>
            </w:r>
          </w:p>
        </w:tc>
        <w:tc>
          <w:tcPr>
            <w:tcW w:w="528"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104,1</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2.8.2.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показатели бюджета Валдайского муниципального района в 2008-2014 годах.</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47"/>
        <w:gridCol w:w="927"/>
        <w:gridCol w:w="1121"/>
        <w:gridCol w:w="966"/>
        <w:gridCol w:w="965"/>
        <w:gridCol w:w="965"/>
        <w:gridCol w:w="965"/>
        <w:gridCol w:w="965"/>
        <w:gridCol w:w="963"/>
      </w:tblGrid>
      <w:tr w:rsidR="00201A0D" w:rsidRPr="00201A0D" w:rsidTr="00201A0D">
        <w:trPr>
          <w:trHeight w:val="402"/>
        </w:trPr>
        <w:tc>
          <w:tcPr>
            <w:tcW w:w="826"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48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59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2008</w:t>
            </w:r>
          </w:p>
        </w:tc>
        <w:tc>
          <w:tcPr>
            <w:tcW w:w="516"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51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51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51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515"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c>
          <w:tcPr>
            <w:tcW w:w="51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2014</w:t>
            </w:r>
          </w:p>
        </w:tc>
      </w:tr>
      <w:tr w:rsidR="00201A0D" w:rsidRPr="00201A0D" w:rsidTr="00201A0D">
        <w:trPr>
          <w:trHeight w:val="514"/>
        </w:trPr>
        <w:tc>
          <w:tcPr>
            <w:tcW w:w="826"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Доходы местного бюджета</w:t>
            </w:r>
          </w:p>
        </w:tc>
        <w:tc>
          <w:tcPr>
            <w:tcW w:w="48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рублей</w:t>
            </w:r>
          </w:p>
        </w:tc>
        <w:tc>
          <w:tcPr>
            <w:tcW w:w="599"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480265,1</w:t>
            </w:r>
          </w:p>
        </w:tc>
        <w:tc>
          <w:tcPr>
            <w:tcW w:w="516"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480027,5</w:t>
            </w:r>
          </w:p>
        </w:tc>
        <w:tc>
          <w:tcPr>
            <w:tcW w:w="51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476218,0</w:t>
            </w:r>
          </w:p>
        </w:tc>
        <w:tc>
          <w:tcPr>
            <w:tcW w:w="51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510949,9</w:t>
            </w:r>
          </w:p>
        </w:tc>
        <w:tc>
          <w:tcPr>
            <w:tcW w:w="515" w:type="pct"/>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628034,9</w:t>
            </w:r>
          </w:p>
        </w:tc>
        <w:tc>
          <w:tcPr>
            <w:tcW w:w="515"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604292,4</w:t>
            </w:r>
          </w:p>
        </w:tc>
        <w:tc>
          <w:tcPr>
            <w:tcW w:w="51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640901</w:t>
            </w:r>
          </w:p>
        </w:tc>
      </w:tr>
      <w:tr w:rsidR="00201A0D" w:rsidRPr="00201A0D" w:rsidTr="00201A0D">
        <w:trPr>
          <w:trHeight w:val="448"/>
        </w:trPr>
        <w:tc>
          <w:tcPr>
            <w:tcW w:w="826"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Расходы местного бюджета</w:t>
            </w:r>
          </w:p>
        </w:tc>
        <w:tc>
          <w:tcPr>
            <w:tcW w:w="48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рублей</w:t>
            </w:r>
          </w:p>
        </w:tc>
        <w:tc>
          <w:tcPr>
            <w:tcW w:w="59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495625,4</w:t>
            </w:r>
          </w:p>
        </w:tc>
        <w:tc>
          <w:tcPr>
            <w:tcW w:w="516"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484955,7</w:t>
            </w:r>
          </w:p>
        </w:tc>
        <w:tc>
          <w:tcPr>
            <w:tcW w:w="51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476834,9</w:t>
            </w:r>
          </w:p>
        </w:tc>
        <w:tc>
          <w:tcPr>
            <w:tcW w:w="51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511829,4</w:t>
            </w:r>
          </w:p>
        </w:tc>
        <w:tc>
          <w:tcPr>
            <w:tcW w:w="51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648108,2</w:t>
            </w:r>
          </w:p>
        </w:tc>
        <w:tc>
          <w:tcPr>
            <w:tcW w:w="515"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599107,7</w:t>
            </w:r>
          </w:p>
        </w:tc>
        <w:tc>
          <w:tcPr>
            <w:tcW w:w="51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648035</w:t>
            </w:r>
          </w:p>
        </w:tc>
      </w:tr>
      <w:tr w:rsidR="00201A0D" w:rsidRPr="00201A0D" w:rsidTr="00201A0D">
        <w:tc>
          <w:tcPr>
            <w:tcW w:w="826"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Профицит, дефицит (-)</w:t>
            </w:r>
          </w:p>
        </w:tc>
        <w:tc>
          <w:tcPr>
            <w:tcW w:w="48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рублей</w:t>
            </w:r>
          </w:p>
        </w:tc>
        <w:tc>
          <w:tcPr>
            <w:tcW w:w="599"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-15360,3</w:t>
            </w:r>
          </w:p>
        </w:tc>
        <w:tc>
          <w:tcPr>
            <w:tcW w:w="516"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-4928,2</w:t>
            </w:r>
          </w:p>
        </w:tc>
        <w:tc>
          <w:tcPr>
            <w:tcW w:w="51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-616,9</w:t>
            </w:r>
          </w:p>
        </w:tc>
        <w:tc>
          <w:tcPr>
            <w:tcW w:w="51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-879,5</w:t>
            </w:r>
          </w:p>
        </w:tc>
        <w:tc>
          <w:tcPr>
            <w:tcW w:w="515" w:type="pct"/>
            <w:tcMar>
              <w:top w:w="15" w:type="dxa"/>
              <w:left w:w="200"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-20073,3</w:t>
            </w:r>
          </w:p>
        </w:tc>
        <w:tc>
          <w:tcPr>
            <w:tcW w:w="515"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5184,7</w:t>
            </w:r>
          </w:p>
        </w:tc>
        <w:tc>
          <w:tcPr>
            <w:tcW w:w="51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-7134</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noProof/>
          <w:sz w:val="20"/>
          <w:szCs w:val="20"/>
        </w:rPr>
        <w:lastRenderedPageBreak/>
        <w:drawing>
          <wp:inline distT="0" distB="0" distL="0" distR="0">
            <wp:extent cx="5842242" cy="3218442"/>
            <wp:effectExtent l="12200" t="6088" r="7243"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2.8.1. Основные показатели бюджета Едровского сельского поселения в 2008-2014 годах.</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5547234" cy="3257164"/>
            <wp:effectExtent l="12191" t="6101" r="3810" b="0"/>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2.8.2. Темпы роста доходов бюджета Валдайского района и Едровского сельского поселения в 2008-2014 годах.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Следует отметить, что доля Едровского сельского поселения в бюджете Валдайского муниципального района невелика и составляет 1,24-2,26% (рис.2.8.3.).  Доля  Едровского сельского поселения в бюджете Валдайского муниципального района  в 2014 году сократилась до 1,27% (при среднем значении за последние 7 лет – 1,86%).</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highlight w:val="yellow"/>
        </w:rPr>
      </w:pPr>
      <w:r w:rsidRPr="00201A0D">
        <w:rPr>
          <w:rFonts w:ascii="Times New Roman" w:hAnsi="Times New Roman" w:cs="Times New Roman"/>
          <w:noProof/>
          <w:sz w:val="20"/>
          <w:szCs w:val="20"/>
        </w:rPr>
        <w:lastRenderedPageBreak/>
        <w:drawing>
          <wp:inline distT="0" distB="0" distL="0" distR="0">
            <wp:extent cx="5273431" cy="3487374"/>
            <wp:effectExtent l="12186" t="6396" r="8378" b="0"/>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2.8.3. Доля бюджета Едровского сельского поселения в бюджете Валдайского муниципального района в 2008-2014 годах.</w:t>
      </w:r>
    </w:p>
    <w:p w:rsidR="00201A0D" w:rsidRPr="00201A0D" w:rsidRDefault="00201A0D" w:rsidP="00201A0D">
      <w:pPr>
        <w:spacing w:after="0"/>
        <w:jc w:val="both"/>
        <w:rPr>
          <w:rFonts w:ascii="Times New Roman" w:hAnsi="Times New Roman" w:cs="Times New Roman"/>
          <w:sz w:val="20"/>
          <w:szCs w:val="20"/>
        </w:rPr>
      </w:pPr>
      <w:bookmarkStart w:id="27" w:name="_Toc363654773"/>
      <w:bookmarkStart w:id="28" w:name="_Toc433382420"/>
      <w:r w:rsidRPr="00201A0D">
        <w:rPr>
          <w:rFonts w:ascii="Times New Roman" w:hAnsi="Times New Roman" w:cs="Times New Roman"/>
          <w:sz w:val="20"/>
          <w:szCs w:val="20"/>
        </w:rPr>
        <w:t>2.9. Прогнозируемые направления развития</w:t>
      </w:r>
      <w:bookmarkStart w:id="29" w:name="_Toc227133286"/>
      <w:bookmarkStart w:id="30" w:name="_Toc227134257"/>
      <w:bookmarkStart w:id="31" w:name="_Toc227134644"/>
      <w:bookmarkStart w:id="32" w:name="_Toc246306996"/>
      <w:bookmarkStart w:id="33" w:name="_Toc363654774"/>
      <w:bookmarkEnd w:id="27"/>
      <w:r w:rsidRPr="00201A0D">
        <w:rPr>
          <w:rFonts w:ascii="Times New Roman" w:hAnsi="Times New Roman" w:cs="Times New Roman"/>
          <w:sz w:val="20"/>
          <w:szCs w:val="20"/>
        </w:rPr>
        <w:t xml:space="preserve"> экономической базы Едровского сельского поселения.</w:t>
      </w:r>
      <w:bookmarkEnd w:id="28"/>
      <w:bookmarkEnd w:id="29"/>
      <w:bookmarkEnd w:id="30"/>
      <w:bookmarkEnd w:id="31"/>
      <w:bookmarkEnd w:id="32"/>
      <w:bookmarkEnd w:id="33"/>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Базовым сценарием генерального плана считается инновационный вариант развития, параметры которого будут использованы в дальнейших расчетах. Инновационный прогнозный сценарий численности населения предполагает, что форсированное развитие всех сфер деятельности Новгородской области последнего десятилетия продолжится в будущем. Оптимизация структуры промышленности за счет создания новых высокотехнологичных и наукоемких производств позволит в среднесрочной перспективе обеспечить дальнейшее формирование динамичного и конкурентоспособного промышленного комплекса. Это приведет к поступательному экономическому развитию, социальному благополучию, экологическому равновесию.</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Главными факторами дальнейшего развития территории Едровского сельского поселения являются: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потенциал инфраструктуры внешнего транспорта, инженерных коммуникаций и сооружений;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наличие достаточных земельных ресурсов при условии их разумного использования;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развитие рыночной инфраструктуры.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Отраслевая специализация производственного комплекса поселения на данный момент сельское хозяйство и добыча полезных ископаемых.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Как объект прогнозирования развития экономической системы Едровского сельского поселения характеризуется рядом специфических особенностей, в частности: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монофункциональной структурой экономики с доминированием сельского хозяйства;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достаточно выраженными интеграционными связями с областным центром – г. Великий Новгород;</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отраслевой структуре промышленного производства поселения не прогнозируется резких изменений на расчетную перспективу. Как и в настоящее время, предпочтительно развитие сельскохозяйственного производства.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Стратегической целью промышленной политики района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района, конкурентоспособность ее продукции на областном и российском рынках, достойный уровень качества жизни населения.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Основой устойчивого и безопасного развития среды жизнедеятельности на территории поселения должно стать совершенствование и развитие инженерно-транспортной инфраструктуры, а также система мер по охране окружающей среды и предотвращению чрезвычайных ситуаций.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Таким образом, перспективными направлениями в развитие экономики является восстановление агропромышленного комплекса и развитие производства.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экономике Едровского сельского поселения на расчётную перспективу коренных преобразований в отраслевой структуре хозяйственного комплекса основного развития не прогнозируется. Агропромышленная специализация будет приоритетным направлением на данном этапе развития сельского поселения. Она будет основополагающей и на расчётную перспективу до 2034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Первоочередными направлениями в развитии, как сельского хозяйства, так и промышленности поселения, особенно на первом этапе обозначенного расчётного периода, рассматривается восстановление и модернизация производства,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с обязательным учётом востребованности их продукции.</w:t>
      </w:r>
    </w:p>
    <w:p w:rsidR="00201A0D" w:rsidRPr="00201A0D" w:rsidRDefault="00201A0D" w:rsidP="00201A0D">
      <w:pPr>
        <w:spacing w:after="0"/>
        <w:jc w:val="both"/>
        <w:rPr>
          <w:rFonts w:ascii="Times New Roman" w:hAnsi="Times New Roman" w:cs="Times New Roman"/>
          <w:sz w:val="20"/>
          <w:szCs w:val="20"/>
        </w:rPr>
      </w:pPr>
      <w:bookmarkStart w:id="34" w:name="_Toc363654775"/>
      <w:bookmarkStart w:id="35" w:name="_Toc433382421"/>
      <w:r w:rsidRPr="00201A0D">
        <w:rPr>
          <w:rFonts w:ascii="Times New Roman" w:hAnsi="Times New Roman" w:cs="Times New Roman"/>
          <w:sz w:val="20"/>
          <w:szCs w:val="20"/>
        </w:rPr>
        <w:t>2.10. Объекты специального назначения</w:t>
      </w:r>
      <w:bookmarkEnd w:id="34"/>
      <w:bookmarkEnd w:id="35"/>
      <w:r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Кладбища.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 территории поселения имеется пять кладбищ традиционного захоронения.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Сведения о местах захоронения умерших, расположенных на территории поселения, приведены ниже:</w:t>
      </w:r>
    </w:p>
    <w:p w:rsidR="00201A0D" w:rsidRPr="00201A0D" w:rsidRDefault="00201A0D" w:rsidP="00201A0D">
      <w:pPr>
        <w:spacing w:after="0"/>
        <w:jc w:val="both"/>
        <w:rPr>
          <w:rFonts w:ascii="Times New Roman" w:hAnsi="Times New Roman" w:cs="Times New Roman"/>
          <w:sz w:val="20"/>
          <w:szCs w:val="20"/>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3893"/>
        <w:gridCol w:w="1998"/>
        <w:gridCol w:w="2946"/>
      </w:tblGrid>
      <w:tr w:rsidR="00201A0D" w:rsidRPr="00201A0D" w:rsidTr="00201A0D">
        <w:trPr>
          <w:cantSplit/>
          <w:trHeight w:val="460"/>
          <w:tblHeader/>
        </w:trPr>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п/п</w:t>
            </w:r>
          </w:p>
        </w:tc>
        <w:tc>
          <w:tcPr>
            <w:tcW w:w="425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Местоположение</w:t>
            </w:r>
          </w:p>
        </w:tc>
        <w:tc>
          <w:tcPr>
            <w:tcW w:w="217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(га)</w:t>
            </w:r>
          </w:p>
        </w:tc>
        <w:tc>
          <w:tcPr>
            <w:tcW w:w="32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Примечание</w:t>
            </w:r>
          </w:p>
        </w:tc>
      </w:tr>
      <w:tr w:rsidR="00201A0D" w:rsidRPr="00201A0D" w:rsidTr="00201A0D">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425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30 метрах к юго</w:t>
            </w:r>
            <w:r w:rsidR="00A51C94">
              <w:rPr>
                <w:rFonts w:ascii="Times New Roman" w:hAnsi="Times New Roman" w:cs="Times New Roman"/>
                <w:sz w:val="20"/>
                <w:szCs w:val="20"/>
              </w:rPr>
              <w:t>-</w:t>
            </w:r>
            <w:r w:rsidRPr="00201A0D">
              <w:rPr>
                <w:rFonts w:ascii="Times New Roman" w:hAnsi="Times New Roman" w:cs="Times New Roman"/>
                <w:sz w:val="20"/>
                <w:szCs w:val="20"/>
              </w:rPr>
              <w:t>востоку от г</w:t>
            </w:r>
            <w:r w:rsidR="00A51C94">
              <w:rPr>
                <w:rFonts w:ascii="Times New Roman" w:hAnsi="Times New Roman" w:cs="Times New Roman"/>
                <w:sz w:val="20"/>
                <w:szCs w:val="20"/>
              </w:rPr>
              <w:t>р</w:t>
            </w:r>
            <w:r w:rsidRPr="00201A0D">
              <w:rPr>
                <w:rFonts w:ascii="Times New Roman" w:hAnsi="Times New Roman" w:cs="Times New Roman"/>
                <w:sz w:val="20"/>
                <w:szCs w:val="20"/>
              </w:rPr>
              <w:t>аницы д. Селище</w:t>
            </w:r>
          </w:p>
        </w:tc>
        <w:tc>
          <w:tcPr>
            <w:tcW w:w="217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32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действующее</w:t>
            </w:r>
          </w:p>
        </w:tc>
      </w:tr>
      <w:tr w:rsidR="00201A0D" w:rsidRPr="00201A0D" w:rsidTr="00201A0D">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425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восточной части от границы д. Наволок на правом берегу р. Березайка</w:t>
            </w:r>
          </w:p>
        </w:tc>
        <w:tc>
          <w:tcPr>
            <w:tcW w:w="217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w:t>
            </w:r>
          </w:p>
        </w:tc>
        <w:tc>
          <w:tcPr>
            <w:tcW w:w="32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действующее, но на расчетный срок закрываемое</w:t>
            </w:r>
          </w:p>
        </w:tc>
      </w:tr>
      <w:tr w:rsidR="00201A0D" w:rsidRPr="00201A0D" w:rsidTr="00201A0D">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425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восточной части от границы д. Наволок на левом берегу р. Березайка</w:t>
            </w:r>
          </w:p>
        </w:tc>
        <w:tc>
          <w:tcPr>
            <w:tcW w:w="217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w:t>
            </w:r>
          </w:p>
        </w:tc>
        <w:tc>
          <w:tcPr>
            <w:tcW w:w="32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недействующее</w:t>
            </w:r>
          </w:p>
        </w:tc>
      </w:tr>
      <w:tr w:rsidR="00201A0D" w:rsidRPr="00201A0D" w:rsidTr="00201A0D">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425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примыкает к северной границе д. Бель</w:t>
            </w:r>
          </w:p>
        </w:tc>
        <w:tc>
          <w:tcPr>
            <w:tcW w:w="217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0,70</w:t>
            </w:r>
          </w:p>
        </w:tc>
        <w:tc>
          <w:tcPr>
            <w:tcW w:w="32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действующее</w:t>
            </w:r>
          </w:p>
        </w:tc>
      </w:tr>
      <w:tr w:rsidR="00201A0D" w:rsidRPr="00201A0D" w:rsidTr="00201A0D">
        <w:tc>
          <w:tcPr>
            <w:tcW w:w="56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425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217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2,80</w:t>
            </w:r>
          </w:p>
        </w:tc>
        <w:tc>
          <w:tcPr>
            <w:tcW w:w="32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действующее</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Норма обеспеченности земельным участком на кладбище традиционного захоронения составляет </w:t>
      </w:r>
      <w:smartTag w:uri="urn:schemas-microsoft-com:office:smarttags" w:element="metricconverter">
        <w:smartTagPr>
          <w:attr w:name="ProductID" w:val="0,24 га"/>
        </w:smartTagPr>
        <w:r w:rsidRPr="00201A0D">
          <w:rPr>
            <w:rFonts w:ascii="Times New Roman" w:hAnsi="Times New Roman" w:cs="Times New Roman"/>
            <w:sz w:val="20"/>
            <w:szCs w:val="20"/>
          </w:rPr>
          <w:t>0,24 га</w:t>
        </w:r>
      </w:smartTag>
      <w:r w:rsidRPr="00201A0D">
        <w:rPr>
          <w:rFonts w:ascii="Times New Roman" w:hAnsi="Times New Roman" w:cs="Times New Roman"/>
          <w:sz w:val="20"/>
          <w:szCs w:val="20"/>
        </w:rPr>
        <w:t xml:space="preserve"> на 1 тыс. чел. С учетом роста численности населения за расчетный срок и коэффициента смертности, размер земельного участка необходимого для организации кладбища в поселении на расчетный период составляет 0,63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расчетный срок проектом предлагается сохранить существующие кладбища в д. Селище, д. Бель, с. Едрово.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 закрыть действующее кладбище к востоку от д. Наволок, площадью 1,1 га, так как территория указанного кладбища находится в прибрежной и водоохранной зоне, что нарушает норму, установленную ч.15 ст.65 Водного кодекса РФ: «В границах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Настоящими изменениями предусматривается на территории поселения  разместить  новое кладбище (место размещения данного объекта прорабатывается).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Территория старого кладбища: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земельные насаждения. Строительство зданий и сооружений на этой территории не допускается.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Вопрос об использовании закрытого кладбища для вторичного погребения по истечении двадцатилетнего срока может быть решен в соответствии с действующим законодательством Российской Федерации и санитарно-эпидемиологическим заключением.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Производить захоронения на закрытых кладбищах запрещается, за исключением захоронения урн с прахом после кремации в родственные могилы, по истечении кладбищенского периода - время, в течение которого завершаются процессы минерализации трупов.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нарушении санитарных и экологических требований к содержанию места погребения приостанавливается или прекращается деятельность на месте погребения и проводятся мероприятия по ликвидации неблагоприятного воздействия места погребения на окружающую среду и здоровье человека, вплоть до создания нового места погребения с соблюдением требований санитарных правил.</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Места захоронения (складирования) отходов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Сбор, вывоз, размещение твердых бытовых отходов должен производиться в соответствии с Правилами санитарного содержания территории населенных мест, Правилами предоставления услуг по вывозу твердых и жидких бытовых отходов, утвержденными Постановлением Правительства Российской Федерации от 10.02.1997 года №155 и нормативными актами Администрации сельского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процессе жизнедеятельности поселения образуются следующие виды отходов: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отходы из жилищ несортированные (исключая крупногабаритные) – отходы IV класса опасности;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отходы из жилищ крупногабаритные – отходы V класса опасности;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отходы (мусора) от уборки территории и помещений объектов оптово-розничной торговли продовольственными товарами - отходы V класса опасности;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отходы (мусора) от уборки территории и помещений объектов оптово-розничной торговли промышленными товарами - отходы V класса опасности;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мусор от бытовых помещений организаций несортированный (исключая крупногабаритный) - отход IV класса опасности;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жидкие бытовые отходы - отходы V класса опасности.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Норматив образования отходов из жилищ несортированных (исключая крупногабаритные) принят равным 0,35 т/год на одного жителя. [Справочник «Твердые бытовые отходы». Москва, </w:t>
      </w:r>
      <w:smartTag w:uri="urn:schemas-microsoft-com:office:smarttags" w:element="metricconverter">
        <w:smartTagPr>
          <w:attr w:name="ProductID" w:val="1999 г"/>
        </w:smartTagPr>
        <w:r w:rsidRPr="00201A0D">
          <w:rPr>
            <w:rFonts w:ascii="Times New Roman" w:hAnsi="Times New Roman" w:cs="Times New Roman"/>
            <w:sz w:val="20"/>
            <w:szCs w:val="20"/>
          </w:rPr>
          <w:t>2001 г]</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Норматив образования отходов из жилищ крупногабаритных принят равным 5% от объема образования отходов из жилищ несортированных (исключая крупногабаритные). [Справочник «Твердые бытовые отходы». Москва, </w:t>
      </w:r>
      <w:smartTag w:uri="urn:schemas-microsoft-com:office:smarttags" w:element="metricconverter">
        <w:smartTagPr>
          <w:attr w:name="ProductID" w:val="1999 г"/>
        </w:smartTagPr>
        <w:r w:rsidRPr="00201A0D">
          <w:rPr>
            <w:rFonts w:ascii="Times New Roman" w:hAnsi="Times New Roman" w:cs="Times New Roman"/>
            <w:sz w:val="20"/>
            <w:szCs w:val="20"/>
          </w:rPr>
          <w:t>2001 г]</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Вместимость контейнера равна </w:t>
      </w:r>
      <w:smartTag w:uri="urn:schemas-microsoft-com:office:smarttags" w:element="metricconverter">
        <w:smartTagPr>
          <w:attr w:name="ProductID" w:val="0,75 м3"/>
        </w:smartTagPr>
        <w:r w:rsidRPr="00201A0D">
          <w:rPr>
            <w:rFonts w:ascii="Times New Roman" w:hAnsi="Times New Roman" w:cs="Times New Roman"/>
            <w:sz w:val="20"/>
            <w:szCs w:val="20"/>
          </w:rPr>
          <w:t>0,75 м3</w:t>
        </w:r>
      </w:smartTag>
      <w:r w:rsidRPr="00201A0D">
        <w:rPr>
          <w:rFonts w:ascii="Times New Roman" w:hAnsi="Times New Roman" w:cs="Times New Roman"/>
          <w:sz w:val="20"/>
          <w:szCs w:val="20"/>
        </w:rPr>
        <w:t xml:space="preserve"> согласно по ТУ МПП ЖКХ.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Средняя плотность отходов 0,3 т/м3.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[Справочник «Твердые бытовые отходы». Москва, </w:t>
      </w:r>
      <w:smartTag w:uri="urn:schemas-microsoft-com:office:smarttags" w:element="metricconverter">
        <w:smartTagPr>
          <w:attr w:name="ProductID" w:val="1999 г"/>
        </w:smartTagPr>
        <w:r w:rsidRPr="00201A0D">
          <w:rPr>
            <w:rFonts w:ascii="Times New Roman" w:hAnsi="Times New Roman" w:cs="Times New Roman"/>
            <w:sz w:val="20"/>
            <w:szCs w:val="20"/>
          </w:rPr>
          <w:t>2001 г]</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Норматив образования жидких бытовых отходов принят равным 1,5 м3/год на одного жителя. [Справочник «Твердые бытовые отходы». Москва, </w:t>
      </w:r>
      <w:smartTag w:uri="urn:schemas-microsoft-com:office:smarttags" w:element="metricconverter">
        <w:smartTagPr>
          <w:attr w:name="ProductID" w:val="1999 г"/>
        </w:smartTagPr>
        <w:r w:rsidRPr="00201A0D">
          <w:rPr>
            <w:rFonts w:ascii="Times New Roman" w:hAnsi="Times New Roman" w:cs="Times New Roman"/>
            <w:sz w:val="20"/>
            <w:szCs w:val="20"/>
          </w:rPr>
          <w:t>2001 г]</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Вывоз отходов от предприятий обслуживания, следует производить не реже одного раза в два дня.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Твердые бытовые и другие отходы необходимо вывозить на полигон ТБО, содержание, текущее техническое обслуживание которого осуществляется специализированной организацией, имеющей лицензию на право выполнения работ по утилизации, складированию, размещению, захоронению уничтожению бытовых и иных отходов (кроме радиоактивных) при заключении договора с данной организацией.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Крупногабаритные отходы складируются на специально оборудованных площадках или вывозятся на полигон ТБО.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настоящее время твердые бытовые отходы вывозят на полигон ТБО у п. Выскодно-2. Площадь полигона – </w:t>
      </w:r>
      <w:smartTag w:uri="urn:schemas-microsoft-com:office:smarttags" w:element="metricconverter">
        <w:smartTagPr>
          <w:attr w:name="ProductID" w:val="5 га"/>
        </w:smartTagPr>
        <w:r w:rsidRPr="00201A0D">
          <w:rPr>
            <w:rFonts w:ascii="Times New Roman" w:hAnsi="Times New Roman" w:cs="Times New Roman"/>
            <w:sz w:val="20"/>
            <w:szCs w:val="20"/>
          </w:rPr>
          <w:t>5 га</w:t>
        </w:r>
      </w:smartTag>
      <w:r w:rsidRPr="00201A0D">
        <w:rPr>
          <w:rFonts w:ascii="Times New Roman" w:hAnsi="Times New Roman" w:cs="Times New Roman"/>
          <w:sz w:val="20"/>
          <w:szCs w:val="20"/>
        </w:rPr>
        <w:t>, степень заполнения – 60 %. В перспективе планируется использование этого же полигона либо иного другого на территории Валдайского МР, местоположение которого определяется на следующих стадиях проектирования. Несанкционированные свалки ТБО ликвидируются при их возникновении и наличия денежных средств.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Сбор, хранение и захоронение отходов, содержащих радиоактивные вещества, осуществляется в соответствии с действующим законодательством.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Удаление твердых бытовых отходов с собственных и прилегающих территорий гаражно-строительных (гаражно-эксплуатационных) комплексов, садоводческих и огороднических некоммерческих объединений граждан осуществляется по договору со специализированной организацией.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осуществления санитарной очистки населенных пунктов необходимо выполнять следующие условия: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своевременно заключать договор со специализированной организацией на вывоз и захоронение отходов;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осуществлять сбор отходов в контейнеры-мусоросборники, установленные на специально оборудованных площадках. Запрещается закапывать бытовой мусор и нечистоты в землю, засыпать их в недействующие шахтовые колодцы;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 xml:space="preserve">- обеспечить установку на обслуживаемой территории достаточного количества контейнеров-мусоросборников. Контейнерные площадки должны быть удалены от жилых домов и зданий, детских учреждений, детских спортивных и хозяйственных площадок, а также от мест отдыха населения на расстояние не менее 20, но не более </w:t>
      </w:r>
      <w:smartTag w:uri="urn:schemas-microsoft-com:office:smarttags" w:element="metricconverter">
        <w:smartTagPr>
          <w:attr w:name="ProductID" w:val="100 метров"/>
        </w:smartTagPr>
        <w:r w:rsidRPr="00201A0D">
          <w:rPr>
            <w:rFonts w:ascii="Times New Roman" w:hAnsi="Times New Roman" w:cs="Times New Roman"/>
            <w:sz w:val="20"/>
            <w:szCs w:val="20"/>
          </w:rPr>
          <w:t>100 метров</w:t>
        </w:r>
      </w:smartTag>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 территориях, прилегающих к зданиям, не имеющим канализации, оборудовать выгребные ямы для хранения жидких отходов и стационарные мусоросборники для твердых бытовых отходов. Обеспечить их правильную эксплуатацию (выгребные ямы должны иметь надежную гидроизоляцию, исключающую загрязнение окружающей среды жидкими отходами);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Запрещается сливать жидкие отходы и сточные воды из домов, не оборудованных канализацией, в колодцы, водостоки ливневой канализации, придорожные канавы, на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обеспечивать содержание в исправном состоянии несменяемых контейнеров и других мусоросборников для жидких и твердых бытовых отходов;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обеспечивать свободный проход и проезд к контейнерным площадкам.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случае срыва графика вывоза твердых отходов ликвидацию образовавшийся свалки мусора производит специализированная организация, осуществляющая сбор и транспортировку твердых отходов.</w:t>
      </w:r>
    </w:p>
    <w:p w:rsidR="00201A0D" w:rsidRPr="00201A0D" w:rsidRDefault="00201A0D" w:rsidP="00201A0D">
      <w:pPr>
        <w:spacing w:after="0"/>
        <w:jc w:val="both"/>
        <w:rPr>
          <w:rFonts w:ascii="Times New Roman" w:hAnsi="Times New Roman" w:cs="Times New Roman"/>
          <w:sz w:val="20"/>
          <w:szCs w:val="20"/>
        </w:rPr>
      </w:pPr>
      <w:bookmarkStart w:id="36" w:name="_Toc363654776"/>
      <w:bookmarkStart w:id="37" w:name="_Toc433382422"/>
      <w:r w:rsidRPr="00201A0D">
        <w:rPr>
          <w:rFonts w:ascii="Times New Roman" w:hAnsi="Times New Roman" w:cs="Times New Roman"/>
          <w:sz w:val="20"/>
          <w:szCs w:val="20"/>
        </w:rPr>
        <w:t>2.11. Территории с особым режимом использования</w:t>
      </w:r>
      <w:bookmarkEnd w:id="36"/>
      <w:bookmarkEnd w:id="37"/>
      <w:r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 территории муниципального образования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водоохранные зоны и береговые защитные полосы (таблица 2.11.1.)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2.11.1.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506"/>
        <w:gridCol w:w="1954"/>
        <w:gridCol w:w="2309"/>
      </w:tblGrid>
      <w:tr w:rsidR="00201A0D" w:rsidRPr="00201A0D" w:rsidTr="00201A0D">
        <w:trPr>
          <w:cantSplit/>
          <w:trHeight w:val="433"/>
          <w:tblHeader/>
          <w:jc w:val="center"/>
        </w:trPr>
        <w:tc>
          <w:tcPr>
            <w:tcW w:w="1464"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Название реки, ручья, озера</w:t>
            </w:r>
          </w:p>
        </w:tc>
        <w:tc>
          <w:tcPr>
            <w:tcW w:w="1309"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Длина реки, ручья, км;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озера, км2</w:t>
            </w:r>
          </w:p>
        </w:tc>
        <w:tc>
          <w:tcPr>
            <w:tcW w:w="1021"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Водоохранная зона, м</w:t>
            </w:r>
          </w:p>
        </w:tc>
        <w:tc>
          <w:tcPr>
            <w:tcW w:w="1206" w:type="pct"/>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Прибрежная защитная полоса, м </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Березайка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7,29</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Либья</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1,126</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Водопай</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15,426</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Поперечная</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1,710</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Лютишка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3,233</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Речка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4,144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Боравленка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1,528</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Колотовка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6,323</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Кобылка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9,507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Лапуша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10,627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Река Ситная</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13,528</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Чернушка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23,517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Едерка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10,481</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Река Ливица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7,933</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озёра Пиченские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1,106</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Светлое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0,054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Ситно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1,239</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Петрово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1,002</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Большой Лютинец</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0,371</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Старое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0,050</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Городно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0,967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Ворнец</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0,174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Стреглино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0,837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Залужье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0,211</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Рожневец</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0,061</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Едровское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2,236</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Онисимово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0,374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озёро Белое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0,073</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Тагрань</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0,527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Сихороша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0,141</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Сомиха</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0,054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Холмское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1,034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Заробье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0,077</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Сомино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0,293</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Харьково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0,154</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Шлинцо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0,966</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Осиновское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0,191</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Клеветецкое</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0,398</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Шлино</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10,619</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r w:rsidR="00201A0D" w:rsidRPr="00201A0D" w:rsidTr="00201A0D">
        <w:trPr>
          <w:cantSplit/>
          <w:trHeight w:val="20"/>
          <w:jc w:val="center"/>
        </w:trPr>
        <w:tc>
          <w:tcPr>
            <w:tcW w:w="1464"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озёро Старожил</w:t>
            </w:r>
          </w:p>
        </w:tc>
        <w:tc>
          <w:tcPr>
            <w:tcW w:w="1309"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1,286</w:t>
            </w:r>
          </w:p>
        </w:tc>
        <w:tc>
          <w:tcPr>
            <w:tcW w:w="1021" w:type="pct"/>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1206" w:type="pct"/>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устанавливается в зависимости от уклона берега</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зоны санитарной охраны источников питьевого водоснабжения.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Автономные системы водоснабжения имеют с. Едрово и д. Зелёная Роща, водоснабжение остальных населённых пунктов обеспечивается от индивидуальных приусадебных шахтных колодцев.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 СанПиН 2.1.4.1110-02 источники водоснабжения должны иметь зоны санитарной охраны (ЗСО).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Санитарная охрана водоводов обеспечивается санитарно-защитной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охранные зоны (санитарные разрывы).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 напряжении до 20 кВ – 10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- 35 кВ – 15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- 110 кВ – 20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Приняты следующие охранные зоны для объектов газоснабжения: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ГРС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магистральный газопровод – 25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газопрово</w:t>
      </w:r>
      <w:r w:rsidR="00A51C94">
        <w:rPr>
          <w:rFonts w:ascii="Times New Roman" w:hAnsi="Times New Roman" w:cs="Times New Roman"/>
          <w:sz w:val="20"/>
          <w:szCs w:val="20"/>
        </w:rPr>
        <w:t>д</w:t>
      </w:r>
      <w:r w:rsidRPr="00201A0D">
        <w:rPr>
          <w:rFonts w:ascii="Times New Roman" w:hAnsi="Times New Roman" w:cs="Times New Roman"/>
          <w:sz w:val="20"/>
          <w:szCs w:val="20"/>
        </w:rPr>
        <w:t xml:space="preserve"> высокого давления в черте населенного пункта – 2,5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межпоселковый газопровод высокого давления – 3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ГРП, ГРПШ – 10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санитарно-защитные зоны.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промышленных предприятий: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лесоперерабатывающее производство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пилорама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добыча песчано-гр</w:t>
      </w:r>
      <w:r w:rsidR="00A51C94">
        <w:rPr>
          <w:rFonts w:ascii="Times New Roman" w:hAnsi="Times New Roman" w:cs="Times New Roman"/>
          <w:sz w:val="20"/>
          <w:szCs w:val="20"/>
        </w:rPr>
        <w:t>а</w:t>
      </w:r>
      <w:r w:rsidRPr="00201A0D">
        <w:rPr>
          <w:rFonts w:ascii="Times New Roman" w:hAnsi="Times New Roman" w:cs="Times New Roman"/>
          <w:sz w:val="20"/>
          <w:szCs w:val="20"/>
        </w:rPr>
        <w:t>вийного материала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канализационных очистных сооружений (КОС) - 200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канализационных насосных станций (КНС) – 20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вертолетной площадки – 300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кладбища - 50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сельскохозяйственных предприятий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санитарно-защитная зона коммунально-складских предприятий: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овощехранилище – 50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АЗС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комплекс автосервиса – 100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ГРС – 300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противопожарные разрывы.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50 м. В городских поселениях для районов одно-двух 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метров. </w:t>
      </w:r>
    </w:p>
    <w:p w:rsidR="00201A0D" w:rsidRPr="00201A0D" w:rsidRDefault="00201A0D" w:rsidP="00201A0D">
      <w:pPr>
        <w:spacing w:after="0"/>
        <w:jc w:val="both"/>
        <w:rPr>
          <w:rFonts w:ascii="Times New Roman" w:hAnsi="Times New Roman" w:cs="Times New Roman"/>
          <w:sz w:val="20"/>
          <w:szCs w:val="20"/>
        </w:rPr>
      </w:pPr>
      <w:bookmarkStart w:id="38" w:name="_Toc433382423"/>
      <w:bookmarkStart w:id="39" w:name="_Toc363654777"/>
      <w:r w:rsidRPr="00201A0D">
        <w:rPr>
          <w:rFonts w:ascii="Times New Roman" w:hAnsi="Times New Roman" w:cs="Times New Roman"/>
          <w:sz w:val="20"/>
          <w:szCs w:val="20"/>
        </w:rPr>
        <w:t>2.12. Транспортная инфраструктура.</w:t>
      </w:r>
      <w:bookmarkEnd w:id="38"/>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Транспортная инфраструктура на территории поселения отмечена объектами и линейными сооружениями автомобильного и железнодорожного транспорта.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Автомобильный транспорт.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Общая протяженность внешних дорог по территории  Едровского СП составляет – </w:t>
      </w:r>
      <w:smartTag w:uri="urn:schemas-microsoft-com:office:smarttags" w:element="metricconverter">
        <w:smartTagPr>
          <w:attr w:name="ProductID" w:val="403 км"/>
        </w:smartTagPr>
        <w:r w:rsidRPr="00201A0D">
          <w:rPr>
            <w:rFonts w:ascii="Times New Roman" w:hAnsi="Times New Roman" w:cs="Times New Roman"/>
            <w:sz w:val="20"/>
            <w:szCs w:val="20"/>
          </w:rPr>
          <w:t>403 км</w:t>
        </w:r>
      </w:smartTag>
      <w:r w:rsidRPr="00201A0D">
        <w:rPr>
          <w:rFonts w:ascii="Times New Roman" w:hAnsi="Times New Roman" w:cs="Times New Roman"/>
          <w:sz w:val="20"/>
          <w:szCs w:val="20"/>
        </w:rPr>
        <w:t xml:space="preserve">; ширина покрытия – </w:t>
      </w:r>
      <w:smartTag w:uri="urn:schemas-microsoft-com:office:smarttags" w:element="metricconverter">
        <w:smartTagPr>
          <w:attr w:name="ProductID" w:val="6 м"/>
        </w:smartTagPr>
        <w:r w:rsidRPr="00201A0D">
          <w:rPr>
            <w:rFonts w:ascii="Times New Roman" w:hAnsi="Times New Roman" w:cs="Times New Roman"/>
            <w:sz w:val="20"/>
            <w:szCs w:val="20"/>
          </w:rPr>
          <w:t>6 м</w:t>
        </w:r>
      </w:smartTag>
      <w:r w:rsidRPr="00201A0D">
        <w:rPr>
          <w:rFonts w:ascii="Times New Roman" w:hAnsi="Times New Roman" w:cs="Times New Roman"/>
          <w:sz w:val="20"/>
          <w:szCs w:val="20"/>
        </w:rPr>
        <w:t>; тип покрытия – грунтово-улучшенное.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автотранспортные направления областного значения на территории Едровского СП:</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 федеральная автомобильная дорога М-10 «Россия»;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Ванютино – Старово протяженностью </w:t>
      </w:r>
      <w:smartTag w:uri="urn:schemas-microsoft-com:office:smarttags" w:element="metricconverter">
        <w:smartTagPr>
          <w:attr w:name="ProductID" w:val="2,8 км"/>
        </w:smartTagPr>
        <w:r w:rsidRPr="00201A0D">
          <w:rPr>
            <w:rFonts w:ascii="Times New Roman" w:hAnsi="Times New Roman" w:cs="Times New Roman"/>
            <w:sz w:val="20"/>
            <w:szCs w:val="20"/>
          </w:rPr>
          <w:t>2,8 км</w:t>
        </w:r>
      </w:smartTag>
      <w:r w:rsidRPr="00201A0D">
        <w:rPr>
          <w:rFonts w:ascii="Times New Roman" w:hAnsi="Times New Roman" w:cs="Times New Roman"/>
          <w:sz w:val="20"/>
          <w:szCs w:val="20"/>
        </w:rPr>
        <w:t>, тип покрытия –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Добывалово – Зеленая Роща протяженностью </w:t>
      </w:r>
      <w:smartTag w:uri="urn:schemas-microsoft-com:office:smarttags" w:element="metricconverter">
        <w:smartTagPr>
          <w:attr w:name="ProductID" w:val="2,4 км"/>
        </w:smartTagPr>
        <w:r w:rsidRPr="00201A0D">
          <w:rPr>
            <w:rFonts w:ascii="Times New Roman" w:hAnsi="Times New Roman" w:cs="Times New Roman"/>
            <w:sz w:val="20"/>
            <w:szCs w:val="20"/>
          </w:rPr>
          <w:t>2,4 км</w:t>
        </w:r>
      </w:smartTag>
      <w:r w:rsidRPr="00201A0D">
        <w:rPr>
          <w:rFonts w:ascii="Times New Roman" w:hAnsi="Times New Roman" w:cs="Times New Roman"/>
          <w:sz w:val="20"/>
          <w:szCs w:val="20"/>
        </w:rPr>
        <w:t>, тип покрытия –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Добывалово – Красилово – Марково протяженностью </w:t>
      </w:r>
      <w:smartTag w:uri="urn:schemas-microsoft-com:office:smarttags" w:element="metricconverter">
        <w:smartTagPr>
          <w:attr w:name="ProductID" w:val="47,6 км"/>
        </w:smartTagPr>
        <w:r w:rsidRPr="00201A0D">
          <w:rPr>
            <w:rFonts w:ascii="Times New Roman" w:hAnsi="Times New Roman" w:cs="Times New Roman"/>
            <w:sz w:val="20"/>
            <w:szCs w:val="20"/>
          </w:rPr>
          <w:t>47,6 км</w:t>
        </w:r>
      </w:smartTag>
      <w:r w:rsidRPr="00201A0D">
        <w:rPr>
          <w:rFonts w:ascii="Times New Roman" w:hAnsi="Times New Roman" w:cs="Times New Roman"/>
          <w:sz w:val="20"/>
          <w:szCs w:val="20"/>
        </w:rPr>
        <w:t>, тип покрытия –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Едрово – Селище протяженностью </w:t>
      </w:r>
      <w:smartTag w:uri="urn:schemas-microsoft-com:office:smarttags" w:element="metricconverter">
        <w:smartTagPr>
          <w:attr w:name="ProductID" w:val="10,0 км"/>
        </w:smartTagPr>
        <w:r w:rsidRPr="00201A0D">
          <w:rPr>
            <w:rFonts w:ascii="Times New Roman" w:hAnsi="Times New Roman" w:cs="Times New Roman"/>
            <w:sz w:val="20"/>
            <w:szCs w:val="20"/>
          </w:rPr>
          <w:t>10,0 км</w:t>
        </w:r>
      </w:smartTag>
      <w:r w:rsidRPr="00201A0D">
        <w:rPr>
          <w:rFonts w:ascii="Times New Roman" w:hAnsi="Times New Roman" w:cs="Times New Roman"/>
          <w:sz w:val="20"/>
          <w:szCs w:val="20"/>
        </w:rPr>
        <w:t>, тип покрытия –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Семенова Гора – Плав протяженностью </w:t>
      </w:r>
      <w:smartTag w:uri="urn:schemas-microsoft-com:office:smarttags" w:element="metricconverter">
        <w:smartTagPr>
          <w:attr w:name="ProductID" w:val="3,4 км"/>
        </w:smartTagPr>
        <w:r w:rsidRPr="00201A0D">
          <w:rPr>
            <w:rFonts w:ascii="Times New Roman" w:hAnsi="Times New Roman" w:cs="Times New Roman"/>
            <w:sz w:val="20"/>
            <w:szCs w:val="20"/>
          </w:rPr>
          <w:t>3,4 км</w:t>
        </w:r>
      </w:smartTag>
      <w:r w:rsidRPr="00201A0D">
        <w:rPr>
          <w:rFonts w:ascii="Times New Roman" w:hAnsi="Times New Roman" w:cs="Times New Roman"/>
          <w:sz w:val="20"/>
          <w:szCs w:val="20"/>
        </w:rPr>
        <w:t>, тип покрытия –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Зимогорье – а/д Добывалово – Красилово протяженностью </w:t>
      </w:r>
      <w:smartTag w:uri="urn:schemas-microsoft-com:office:smarttags" w:element="metricconverter">
        <w:smartTagPr>
          <w:attr w:name="ProductID" w:val="7,1 км"/>
        </w:smartTagPr>
        <w:r w:rsidRPr="00201A0D">
          <w:rPr>
            <w:rFonts w:ascii="Times New Roman" w:hAnsi="Times New Roman" w:cs="Times New Roman"/>
            <w:sz w:val="20"/>
            <w:szCs w:val="20"/>
          </w:rPr>
          <w:t>7,1 км</w:t>
        </w:r>
      </w:smartTag>
      <w:r w:rsidRPr="00201A0D">
        <w:rPr>
          <w:rFonts w:ascii="Times New Roman" w:hAnsi="Times New Roman" w:cs="Times New Roman"/>
          <w:sz w:val="20"/>
          <w:szCs w:val="20"/>
        </w:rPr>
        <w:t>, тип покрытия – грунт.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автодороги с твердым покрытием на пересечении с естественными преградами (реки и пр.) оборудованы мостовыми сооружениями.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Дорожный фонд Едровского СП представлен в таблице 2.12.1.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2.12.1.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3"/>
        <w:gridCol w:w="1947"/>
        <w:gridCol w:w="1841"/>
      </w:tblGrid>
      <w:tr w:rsidR="00201A0D" w:rsidRPr="00201A0D" w:rsidTr="00201A0D">
        <w:trPr>
          <w:cantSplit/>
          <w:trHeight w:val="335"/>
          <w:tblHeader/>
        </w:trPr>
        <w:tc>
          <w:tcPr>
            <w:tcW w:w="5978" w:type="dxa"/>
            <w:tcBorders>
              <w:bottom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дорог общего пользования на территории МО</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2005 год</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 год</w:t>
            </w:r>
          </w:p>
        </w:tc>
      </w:tr>
      <w:tr w:rsidR="00201A0D" w:rsidRPr="00201A0D" w:rsidTr="00201A0D">
        <w:tc>
          <w:tcPr>
            <w:tcW w:w="5978" w:type="dxa"/>
            <w:tcBorders>
              <w:bottom w:val="single" w:sz="4" w:space="0" w:color="auto"/>
            </w:tcBorders>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 км</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116</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133</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федеральной собственности</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областной собственности</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муниципальной собственности</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28</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ведомственного подчинения</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частные</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бесхозяйные</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58</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w:t>
            </w:r>
          </w:p>
        </w:tc>
      </w:tr>
      <w:tr w:rsidR="00201A0D" w:rsidRPr="00201A0D" w:rsidTr="00201A0D">
        <w:tc>
          <w:tcPr>
            <w:tcW w:w="59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дороги, находящиеся в областной (муниципальной) собственности, но утратившие народно – хозяйственное значение</w:t>
            </w:r>
          </w:p>
        </w:tc>
        <w:tc>
          <w:tcPr>
            <w:tcW w:w="21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98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Постановлением Администрации Едровского сельского поселения № 20 от 16.04.2013 г. утвержден перечень автомобильных дорог общего пользования местного значения в границах населенных пунктов Едровского сельского поселения (таблица 2.12.2.).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2.12.2.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ПЕРЕЧЕНЬ</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автомобильных дорог общего пользования, находящихся в границах населенных пунктов Едровского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6110"/>
        <w:gridCol w:w="2189"/>
      </w:tblGrid>
      <w:tr w:rsidR="00201A0D" w:rsidRPr="00201A0D" w:rsidTr="00201A0D">
        <w:trPr>
          <w:cantSplit/>
          <w:tblHeader/>
        </w:trPr>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п/п</w:t>
            </w:r>
          </w:p>
        </w:tc>
        <w:tc>
          <w:tcPr>
            <w:tcW w:w="667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населенного пункта</w:t>
            </w:r>
          </w:p>
        </w:tc>
        <w:tc>
          <w:tcPr>
            <w:tcW w:w="22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Село Едрово (улицы)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Гражданская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Станционная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Калинина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Сосновая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Животноводов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Щебзавода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Белова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Вокзальная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улица Строителей</w:t>
            </w:r>
          </w:p>
        </w:tc>
        <w:tc>
          <w:tcPr>
            <w:tcW w:w="2268" w:type="dxa"/>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2,45</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3,55</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1,15</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ИТОГО с. Едрово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Большое Носакино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Среднее Носакино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Старая Ситенка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Новая Ситенка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Добывалово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Зеленая Роща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Рядчино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Харитониха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Гвоздки</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11</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Наволок</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Макушино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Труфаново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Костелево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Старина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Селище</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Афанасово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Старово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Ванютино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Бель</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Речка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Новинка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23</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Красилово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Семенова Гора</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Марково</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0,5</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w:t>
            </w: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Плав</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201A0D">
        <w:tc>
          <w:tcPr>
            <w:tcW w:w="1368" w:type="dxa"/>
            <w:vAlign w:val="center"/>
          </w:tcPr>
          <w:p w:rsidR="00201A0D" w:rsidRPr="00201A0D" w:rsidRDefault="00201A0D" w:rsidP="00201A0D">
            <w:pPr>
              <w:spacing w:after="0"/>
              <w:jc w:val="both"/>
              <w:rPr>
                <w:rFonts w:ascii="Times New Roman" w:hAnsi="Times New Roman" w:cs="Times New Roman"/>
                <w:sz w:val="20"/>
                <w:szCs w:val="20"/>
              </w:rPr>
            </w:pPr>
          </w:p>
        </w:tc>
        <w:tc>
          <w:tcPr>
            <w:tcW w:w="667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ВСЕГО по сельскому поселению</w:t>
            </w:r>
          </w:p>
        </w:tc>
        <w:tc>
          <w:tcPr>
            <w:tcW w:w="2268"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44,55</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Гаражных комплексов в Едровском СП нет.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Транспортное сообщение Едровского СП согласно паспорту МО Едровское сельское поселение 2011 года представлено в таблице 2.12.3.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2.12.3.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9"/>
        <w:gridCol w:w="2162"/>
        <w:gridCol w:w="2570"/>
        <w:gridCol w:w="2162"/>
      </w:tblGrid>
      <w:tr w:rsidR="00201A0D" w:rsidRPr="00201A0D" w:rsidTr="003C0C73">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Автобусное сообщение</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маршрута пункт отправления – пункт прибытия</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Железнодорожное сообщение</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маршрута пункт отправления – пункт прибытия</w:t>
            </w:r>
          </w:p>
        </w:tc>
      </w:tr>
      <w:tr w:rsidR="00201A0D" w:rsidRPr="00201A0D" w:rsidTr="003C0C73">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Территориального центра МО с областным центром</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Выползово-Новгород, Тверь-Новгород.</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Территориального центра МО с областным центром</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Территориального центра МО с районным центром</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Выползово-Валдай</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Территориального центра МО с районным центром</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Бологое-Дно</w:t>
            </w:r>
          </w:p>
        </w:tc>
      </w:tr>
      <w:tr w:rsidR="00201A0D" w:rsidRPr="00201A0D" w:rsidTr="003C0C73">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МО</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МО</w:t>
            </w:r>
          </w:p>
        </w:tc>
        <w:tc>
          <w:tcPr>
            <w:tcW w:w="0" w:type="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Интенсивность автобусного движения недостаточна.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Остановки не везде оборудованы павильонами.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Речной транспорт отсутствует.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предыдущему генплану:</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существующие маршруты общественного транспорта по территории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 Санкт-Петербург – д. Добывалово – д. Старая Ситенка – д. Новая Ситенка - с. Едрово – г. Москва;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 – д. Харитониха – д. Гвоздки – д. Наволок – д. Старина – д. Ванютино – д. Бель – д. Речка – д. Новинка – д. Красилово – д. Семенова Гора – д. Марково – д. Плав;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существующие остановки общественного транспорта на территории поселения: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Бель - д. Ванютино - д. Добывалово - д. Красилово - д. Старая Ситенка - д. Новая Ситенка - д. Новинка - д. Речка - д. Старая Ситенка - с. Едрово (3 шт.) - д. Старина;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автостанция в д. Старая Ситенка.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планируется создание новых маршрутов общественного транспорта (или продление существующих маршрутов), которые позволят охватить все населнные пункты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 – д. Большое Носакино;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Ванютино – д. Старово;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Старина – д. Костелево – д. Селище – д. Афанасово;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Наволок – д. Макушино – д. Труфаново;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Харитониха – д. Рядчино – д. Зеленая Роща.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Проектом планируется размещение остановок общественного транспорта в населенных пунктах: д. Афанасово, д. Большое Носакино, д. Гвоздки, д. Зеленая Роща, д. Костелево, д. Макушино, д. Марково, д. </w:t>
      </w:r>
      <w:r w:rsidRPr="00201A0D">
        <w:rPr>
          <w:rFonts w:ascii="Times New Roman" w:hAnsi="Times New Roman" w:cs="Times New Roman"/>
          <w:sz w:val="20"/>
          <w:szCs w:val="20"/>
        </w:rPr>
        <w:lastRenderedPageBreak/>
        <w:t>Наволок, д. Плав, д. Рядчино, д. Селище, д. Семенова Гора, д. Старово, д. Труфаново, д. Харитониха. А также размещение автостанции в д. Большое Носакино.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планируется размещение вертолетной площадки в с. Едрово.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Железнодорожный транспорт.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Административный центр поселения с.Едрово является и железнодорожной станцией (грузовая). Железнодорожная станция Едрово Октябрьской железной дороги расположена на линии Бологое-Московская-Валдай-Старая Русса-Дно-1. Общая протяженность железнодорожных путей по территории поселения составляет – 24 км.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станции Едрово осуществляются следующие коммерческие операции  (</w:t>
      </w:r>
      <w:hyperlink r:id="rId64" w:history="1">
        <w:r w:rsidRPr="00201A0D">
          <w:rPr>
            <w:rFonts w:ascii="Times New Roman" w:hAnsi="Times New Roman" w:cs="Times New Roman"/>
            <w:sz w:val="20"/>
            <w:szCs w:val="20"/>
          </w:rPr>
          <w:t>https://www.railwagonlocation.com/ru/railway-stations-list.php?station_id=19176</w:t>
        </w:r>
      </w:hyperlink>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Продажа пассажирских  билетов;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Прием, выдача багажа;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Прием и выдача мелких отправок грузов, требующих хранения в крытых складах станций;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Прием и выдача повагонных отправок грузов, допускаемых к хранению на открытых площадках станций;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Прием и выдача грузов повагонными и мелкими отправками, загружаемых целыми вагонами, только на подъездных путях и местах необщего пользования;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Прием и выдача повагонных отправок грузов, требующих хранения в крытых складах станций.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станции Едрово останавливаются поезда дальнего следования: Москва-Псков (Псков-Москва) и электропоезда: Бологое-Старая Русса (Старая Русса-Бологое).</w:t>
      </w:r>
    </w:p>
    <w:p w:rsidR="00201A0D" w:rsidRPr="00201A0D" w:rsidRDefault="00201A0D" w:rsidP="00201A0D">
      <w:pPr>
        <w:spacing w:after="0"/>
        <w:jc w:val="both"/>
        <w:rPr>
          <w:rFonts w:ascii="Times New Roman" w:hAnsi="Times New Roman" w:cs="Times New Roman"/>
          <w:sz w:val="20"/>
          <w:szCs w:val="20"/>
        </w:rPr>
      </w:pPr>
      <w:bookmarkStart w:id="40" w:name="_Toc433382424"/>
      <w:r w:rsidRPr="00201A0D">
        <w:rPr>
          <w:rFonts w:ascii="Times New Roman" w:hAnsi="Times New Roman" w:cs="Times New Roman"/>
          <w:sz w:val="20"/>
          <w:szCs w:val="20"/>
        </w:rPr>
        <w:t>3. Нормативные параметры планировки и застройки поселения</w:t>
      </w:r>
      <w:bookmarkEnd w:id="39"/>
      <w:bookmarkEnd w:id="40"/>
      <w:r w:rsidRPr="00201A0D">
        <w:rPr>
          <w:rFonts w:ascii="Times New Roman" w:hAnsi="Times New Roman" w:cs="Times New Roman"/>
          <w:sz w:val="20"/>
          <w:szCs w:val="20"/>
        </w:rPr>
        <w:t xml:space="preserve">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Потребность населения Едровского сельского поселения в площади жилых помещений (расчетная) определена с учетом существующего жилого фонда и норматива жилищной обеспеченности на расчетный срок.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 данным администрации наличие общей площади жилого фонда на территории поселения на 01.01.2014 г. составляет 59 570 м2 (рис.3.1.).</w:t>
      </w:r>
    </w:p>
    <w:p w:rsidR="00201A0D" w:rsidRPr="00201A0D" w:rsidRDefault="00201A0D" w:rsidP="00201A0D">
      <w:pPr>
        <w:spacing w:after="0"/>
        <w:jc w:val="both"/>
        <w:rPr>
          <w:rFonts w:ascii="Times New Roman" w:hAnsi="Times New Roman" w:cs="Times New Roman"/>
          <w:sz w:val="20"/>
          <w:szCs w:val="20"/>
        </w:rPr>
      </w:pPr>
    </w:p>
    <w:tbl>
      <w:tblPr>
        <w:tblW w:w="5000" w:type="pct"/>
        <w:tblCellMar>
          <w:left w:w="0" w:type="dxa"/>
          <w:right w:w="0" w:type="dxa"/>
        </w:tblCellMar>
        <w:tblLook w:val="04A0"/>
      </w:tblPr>
      <w:tblGrid>
        <w:gridCol w:w="1888"/>
        <w:gridCol w:w="1451"/>
        <w:gridCol w:w="1016"/>
        <w:gridCol w:w="1017"/>
        <w:gridCol w:w="1016"/>
        <w:gridCol w:w="1017"/>
        <w:gridCol w:w="1014"/>
        <w:gridCol w:w="961"/>
      </w:tblGrid>
      <w:tr w:rsidR="00201A0D" w:rsidRPr="00201A0D" w:rsidTr="00201A0D">
        <w:trPr>
          <w:trHeight w:val="460"/>
        </w:trPr>
        <w:tc>
          <w:tcPr>
            <w:tcW w:w="20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1527"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измерения</w:t>
            </w:r>
          </w:p>
        </w:tc>
        <w:tc>
          <w:tcPr>
            <w:tcW w:w="1121" w:type="dxa"/>
            <w:tcBorders>
              <w:top w:val="single" w:sz="8" w:space="0" w:color="000000"/>
              <w:left w:val="nil"/>
              <w:bottom w:val="single" w:sz="4" w:space="0" w:color="auto"/>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2008</w:t>
            </w:r>
          </w:p>
        </w:tc>
        <w:tc>
          <w:tcPr>
            <w:tcW w:w="1122" w:type="dxa"/>
            <w:tcBorders>
              <w:top w:val="single" w:sz="8" w:space="0" w:color="000000"/>
              <w:left w:val="nil"/>
              <w:bottom w:val="single" w:sz="4" w:space="0" w:color="auto"/>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2009</w:t>
            </w:r>
          </w:p>
        </w:tc>
        <w:tc>
          <w:tcPr>
            <w:tcW w:w="1121" w:type="dxa"/>
            <w:tcBorders>
              <w:top w:val="single" w:sz="8" w:space="0" w:color="000000"/>
              <w:left w:val="nil"/>
              <w:bottom w:val="single" w:sz="4" w:space="0" w:color="auto"/>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2010</w:t>
            </w:r>
          </w:p>
        </w:tc>
        <w:tc>
          <w:tcPr>
            <w:tcW w:w="1122" w:type="dxa"/>
            <w:tcBorders>
              <w:top w:val="single" w:sz="8" w:space="0" w:color="000000"/>
              <w:left w:val="nil"/>
              <w:bottom w:val="single" w:sz="4" w:space="0" w:color="auto"/>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2011</w:t>
            </w:r>
          </w:p>
        </w:tc>
        <w:tc>
          <w:tcPr>
            <w:tcW w:w="1120" w:type="dxa"/>
            <w:tcBorders>
              <w:top w:val="single" w:sz="8" w:space="0" w:color="000000"/>
              <w:left w:val="nil"/>
              <w:bottom w:val="single" w:sz="4" w:space="0" w:color="auto"/>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2012</w:t>
            </w:r>
          </w:p>
        </w:tc>
        <w:tc>
          <w:tcPr>
            <w:tcW w:w="1051" w:type="dxa"/>
            <w:tcBorders>
              <w:top w:val="single" w:sz="8" w:space="0" w:color="000000"/>
              <w:left w:val="nil"/>
              <w:bottom w:val="single" w:sz="4" w:space="0" w:color="auto"/>
              <w:right w:val="single" w:sz="8" w:space="0" w:color="000000"/>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2013</w:t>
            </w:r>
          </w:p>
        </w:tc>
      </w:tr>
      <w:tr w:rsidR="00201A0D" w:rsidRPr="00201A0D" w:rsidTr="00201A0D">
        <w:tc>
          <w:tcPr>
            <w:tcW w:w="204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Общая площадь жилых помещений</w:t>
            </w:r>
          </w:p>
        </w:tc>
        <w:tc>
          <w:tcPr>
            <w:tcW w:w="1527" w:type="dxa"/>
            <w:tcBorders>
              <w:top w:val="nil"/>
              <w:left w:val="nil"/>
              <w:bottom w:val="single" w:sz="8" w:space="0" w:color="000000"/>
              <w:right w:val="single" w:sz="4" w:space="0" w:color="auto"/>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тысяча метров квадратных</w:t>
            </w:r>
          </w:p>
        </w:tc>
        <w:tc>
          <w:tcPr>
            <w:tcW w:w="11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64,6</w:t>
            </w:r>
          </w:p>
        </w:tc>
        <w:tc>
          <w:tcPr>
            <w:tcW w:w="1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63,6</w:t>
            </w:r>
          </w:p>
        </w:tc>
        <w:tc>
          <w:tcPr>
            <w:tcW w:w="11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63,5</w:t>
            </w:r>
          </w:p>
        </w:tc>
        <w:tc>
          <w:tcPr>
            <w:tcW w:w="112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64,7</w:t>
            </w:r>
          </w:p>
        </w:tc>
        <w:tc>
          <w:tcPr>
            <w:tcW w:w="1120" w:type="dxa"/>
            <w:tcBorders>
              <w:top w:val="single" w:sz="4" w:space="0" w:color="auto"/>
              <w:left w:val="single" w:sz="4" w:space="0" w:color="auto"/>
              <w:bottom w:val="single" w:sz="4" w:space="0" w:color="auto"/>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65,2</w:t>
            </w:r>
          </w:p>
        </w:tc>
        <w:tc>
          <w:tcPr>
            <w:tcW w:w="1051" w:type="dxa"/>
            <w:tcBorders>
              <w:top w:val="single" w:sz="4" w:space="0" w:color="auto"/>
              <w:left w:val="single" w:sz="4" w:space="0" w:color="auto"/>
              <w:bottom w:val="single" w:sz="4" w:space="0" w:color="auto"/>
              <w:right w:val="single" w:sz="4" w:space="0" w:color="auto"/>
            </w:tcBorders>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59,57</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5795139" cy="2746628"/>
            <wp:effectExtent l="12191" t="6097" r="6095" b="0"/>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Рис. 3.1. Общая площадь жилого фонда Едровского сельского поселения.</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Едровского СП на 01.01.2009 г. составила 29 м2/чел., в настоящее время – 33,4 м2/чел. Увеличение этого показателя в последние годы определяется уменьшением численности населения в сельском поселении.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Перечень вопросов в сфере муниципальной жилищной политики, решение которых обеспечивают муниципальные органы власти: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учет (мониторинг) жилищного фонда;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 определение существующей обеспеченности жильем населения поселения;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установление нормативов жилищной обеспеченности, учитывающие местные условия муниципального образования;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 формирование нормативно-правовой базы в жилищной сфере.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 основании схемы территориального планирования Новгородской области, рассматривая перспективу жилищной обеспеченности – 48 м2 на человека в 2034 году – жилищный фонд в поселении должен увеличиться и составить: 191,9 тысяч  м2 общей площади (табл.3.1.). Объем жилищного строительства в Едровском сельском поселении  (в случае успешной реализации инвестиционного проекта на базе деревни Большое Носакино) должен составить 132,3 тысяч  м2  общей площади, в том числе 89,6 тысяч  м2 по д. Большое Носакино, где необходимо будет построить практически весь жилой фонд и большое количество объектов социальной и инженерной инфраструктуры.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При негативном развитии инвестиционного проекта на базе д. Большое Носакино объемы жилищного строительства в Едровском сельском поселении уменьшатся до 42,7 тысяч  м2  общей площади, однако, и эти объемы строительства будут трудно реализуемыми при современных темпах жилищного строительства (290 и 340 м2 за 2013 и 2014 годы,  соответственно /данные Паспорта муниципального образования Едровского сельского поселение, Росстат, http://www.gks.ru/dbscripts/munst/munst.htm/)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0"/>
        <w:gridCol w:w="1252"/>
        <w:gridCol w:w="2153"/>
        <w:gridCol w:w="1846"/>
      </w:tblGrid>
      <w:tr w:rsidR="00201A0D" w:rsidRPr="00201A0D" w:rsidTr="00201A0D">
        <w:trPr>
          <w:tblHeader/>
        </w:trPr>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Единицы измерения</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Расчётный срок</w:t>
            </w:r>
          </w:p>
        </w:tc>
      </w:tr>
      <w:tr w:rsidR="00201A0D" w:rsidRPr="00201A0D" w:rsidTr="00201A0D">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Численность населения</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чел.</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1785</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3998</w:t>
            </w:r>
          </w:p>
        </w:tc>
      </w:tr>
      <w:tr w:rsidR="00201A0D" w:rsidRPr="00201A0D" w:rsidTr="00201A0D">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Проектная норма жилой обеспеченности</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м2/чел</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r>
      <w:tr w:rsidR="00201A0D" w:rsidRPr="00201A0D" w:rsidTr="00201A0D">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Объём жилищного фонда к концу периода</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59570</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191904</w:t>
            </w:r>
          </w:p>
        </w:tc>
      </w:tr>
      <w:tr w:rsidR="00201A0D" w:rsidRPr="00201A0D" w:rsidTr="00201A0D">
        <w:trPr>
          <w:trHeight w:val="283"/>
        </w:trPr>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Объём нового жилищного фонда, в том числе</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132334</w:t>
            </w:r>
          </w:p>
        </w:tc>
      </w:tr>
      <w:tr w:rsidR="00201A0D" w:rsidRPr="00201A0D" w:rsidTr="00201A0D">
        <w:trPr>
          <w:trHeight w:val="283"/>
        </w:trPr>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д.Большое Носакино </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500</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89616</w:t>
            </w:r>
          </w:p>
        </w:tc>
      </w:tr>
      <w:tr w:rsidR="00201A0D" w:rsidRPr="00201A0D" w:rsidTr="00201A0D">
        <w:trPr>
          <w:trHeight w:val="233"/>
        </w:trPr>
        <w:tc>
          <w:tcPr>
            <w:tcW w:w="47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Фактическая обеспеченность</w:t>
            </w:r>
          </w:p>
        </w:tc>
        <w:tc>
          <w:tcPr>
            <w:tcW w:w="135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м2/чел</w:t>
            </w:r>
          </w:p>
        </w:tc>
        <w:tc>
          <w:tcPr>
            <w:tcW w:w="234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33,4</w:t>
            </w:r>
          </w:p>
        </w:tc>
        <w:tc>
          <w:tcPr>
            <w:tcW w:w="20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Потребность населения Едровского сельского поселения в объектах культурно-бытового назначения.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рамках настоящих изменений в генеральный план уточнены данные в потребности населения поселения в учреждениях культурно-бытового бытового обслуживания  на расчетный срок, так как в связи с реализацией </w:t>
      </w:r>
      <w:r w:rsidRPr="00201A0D">
        <w:rPr>
          <w:rFonts w:ascii="Times New Roman" w:hAnsi="Times New Roman" w:cs="Times New Roman"/>
          <w:sz w:val="20"/>
          <w:szCs w:val="20"/>
        </w:rPr>
        <w:lastRenderedPageBreak/>
        <w:t>планируемых  инвестиционных проектов на расчетный срок  предусматривается увеличение численности  жителей.</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 потребности в учреждениях культурно-бытового обслуживания на расчетный срок.</w:t>
      </w:r>
    </w:p>
    <w:tbl>
      <w:tblPr>
        <w:tblW w:w="5001" w:type="pct"/>
        <w:jc w:val="center"/>
        <w:tblInd w:w="5" w:type="dxa"/>
        <w:tblLayout w:type="fixed"/>
        <w:tblCellMar>
          <w:left w:w="0" w:type="dxa"/>
          <w:right w:w="0" w:type="dxa"/>
        </w:tblCellMar>
        <w:tblLook w:val="0000"/>
      </w:tblPr>
      <w:tblGrid>
        <w:gridCol w:w="398"/>
        <w:gridCol w:w="3637"/>
        <w:gridCol w:w="1949"/>
        <w:gridCol w:w="2338"/>
        <w:gridCol w:w="1045"/>
      </w:tblGrid>
      <w:tr w:rsidR="00201A0D" w:rsidRPr="00201A0D" w:rsidTr="00201A0D">
        <w:trPr>
          <w:cantSplit/>
          <w:trHeight w:hRule="exact" w:val="240"/>
          <w:tblHeader/>
          <w:jc w:val="center"/>
        </w:trPr>
        <w:tc>
          <w:tcPr>
            <w:tcW w:w="432" w:type="dxa"/>
            <w:vMerge w:val="restart"/>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п/п</w:t>
            </w:r>
          </w:p>
        </w:tc>
        <w:tc>
          <w:tcPr>
            <w:tcW w:w="3969" w:type="dxa"/>
            <w:vMerge w:val="restart"/>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w:t>
            </w:r>
          </w:p>
        </w:tc>
        <w:tc>
          <w:tcPr>
            <w:tcW w:w="2126" w:type="dxa"/>
            <w:vMerge w:val="restart"/>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w:t>
            </w:r>
          </w:p>
        </w:tc>
        <w:tc>
          <w:tcPr>
            <w:tcW w:w="36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3998</w:t>
            </w:r>
          </w:p>
        </w:tc>
      </w:tr>
      <w:tr w:rsidR="00201A0D" w:rsidRPr="00201A0D" w:rsidTr="00201A0D">
        <w:trPr>
          <w:cantSplit/>
          <w:tblHeader/>
          <w:jc w:val="center"/>
        </w:trPr>
        <w:tc>
          <w:tcPr>
            <w:tcW w:w="432" w:type="dxa"/>
            <w:vMerge/>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c>
          <w:tcPr>
            <w:tcW w:w="3969" w:type="dxa"/>
            <w:vMerge/>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c>
          <w:tcPr>
            <w:tcW w:w="2126" w:type="dxa"/>
            <w:vMerge/>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норма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емкость</w:t>
            </w:r>
          </w:p>
        </w:tc>
      </w:tr>
      <w:tr w:rsidR="00201A0D" w:rsidRPr="00201A0D" w:rsidTr="00201A0D">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 Учреждения образования.</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Детские дошкольные учреждения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Общеобразовательные школы</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Учреждения внешкольного образования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 от числа школьников</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128</w:t>
            </w:r>
          </w:p>
        </w:tc>
      </w:tr>
      <w:tr w:rsidR="00201A0D" w:rsidRPr="00201A0D" w:rsidTr="00201A0D">
        <w:tblPrEx>
          <w:tblCellMar>
            <w:left w:w="40" w:type="dxa"/>
            <w:right w:w="40" w:type="dxa"/>
          </w:tblCellMar>
        </w:tblPrEx>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 Учреждения здравоохранения и социального обеспечения.</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Стационары всех типов со вспомогательными зданиями и сооружениями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койко-место</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13,5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54</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Поликлиника, амбулатория, диспансер (без стационара)</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пос./см.</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18,2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73</w:t>
            </w:r>
          </w:p>
        </w:tc>
      </w:tr>
      <w:tr w:rsidR="00201A0D" w:rsidRPr="00201A0D" w:rsidTr="00201A0D">
        <w:trPr>
          <w:cantSplit/>
          <w:trHeight w:val="23"/>
          <w:jc w:val="center"/>
        </w:trPr>
        <w:tc>
          <w:tcPr>
            <w:tcW w:w="4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Станция скорой медицинской помощи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 спец. автомашин</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на 10 тыс.чел. в пределах зоны 15-минут. доступности</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Аптеки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 м2</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на 6,2 тыс. чел./10 м2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Дома-интернаты для ветеранов и инвалидов</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 мест на 10000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Детский дом-интернат (4-17 лет)</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Психоневрологический интернат</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201A0D">
        <w:tblPrEx>
          <w:tblCellMar>
            <w:left w:w="40" w:type="dxa"/>
            <w:right w:w="40" w:type="dxa"/>
          </w:tblCellMar>
        </w:tblPrEx>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III Учреждения культуры и искусства</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Помещения для организации досуга населения (в застройке)</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50-60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Клубы, дома культуры</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Танцевальные залы, дискотеки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Библиотеки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 объектов или кол-во ед. хранения/кол-во чит. мест на 1 тыс. чел.</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на 1 тыс. чел. 5000-6000/4-5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4/24000/20</w:t>
            </w:r>
          </w:p>
        </w:tc>
      </w:tr>
      <w:tr w:rsidR="00201A0D" w:rsidRPr="00201A0D" w:rsidTr="00201A0D">
        <w:tblPrEx>
          <w:tblCellMar>
            <w:left w:w="40" w:type="dxa"/>
            <w:right w:w="40" w:type="dxa"/>
          </w:tblCellMar>
        </w:tblPrEx>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IV Физкультурно-спортивные сооружения</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Спортивные залы общего пользования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350 м2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1400*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Крытые бассейны общего пользования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 зеркала воды</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20-25 м2 зеркала воды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r>
      <w:tr w:rsidR="00201A0D" w:rsidRPr="00201A0D" w:rsidTr="00201A0D">
        <w:tblPrEx>
          <w:tblCellMar>
            <w:left w:w="40" w:type="dxa"/>
            <w:right w:w="40" w:type="dxa"/>
          </w:tblCellMar>
        </w:tblPrEx>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Торговля и общественное питание</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Магазины продовольственных и промышленных товаров</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 торговой площади</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400  м2 торговой площади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Рыночные комплексы</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 торговой площади</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24-40 м2 торговой площади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Предприятия общественного питания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201A0D">
        <w:tblPrEx>
          <w:tblCellMar>
            <w:left w:w="40" w:type="dxa"/>
            <w:right w:w="40" w:type="dxa"/>
          </w:tblCellMar>
        </w:tblPrEx>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 Учреждения и предприятия бытового и коммунального обслуживания</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Предприятия бытового обслуживания</w:t>
            </w:r>
          </w:p>
        </w:tc>
        <w:tc>
          <w:tcPr>
            <w:tcW w:w="2126" w:type="dxa"/>
            <w:tcBorders>
              <w:top w:val="single" w:sz="4" w:space="0" w:color="auto"/>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рабочих 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 рабочих мест на 1 тыс.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Прачечные</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кг. белья в смену</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 кг белья в смену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Химчистки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кг/см.</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 кг вещей в смену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Бани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 кол.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Гостиницы</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 мест на 1000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Пункты приема вторичного сырья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объектов</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объект на 20 тыс.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7</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Пожарные депо</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автомашин</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машина на 1000 тыс. жит.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пределах 20 минут доступности</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r>
      <w:tr w:rsidR="00201A0D" w:rsidRPr="00201A0D" w:rsidTr="00201A0D">
        <w:tblPrEx>
          <w:tblCellMar>
            <w:left w:w="40" w:type="dxa"/>
            <w:right w:w="40" w:type="dxa"/>
          </w:tblCellMar>
        </w:tblPrEx>
        <w:trPr>
          <w:cantSplit/>
          <w:trHeight w:val="23"/>
          <w:jc w:val="center"/>
        </w:trPr>
        <w:tc>
          <w:tcPr>
            <w:tcW w:w="1021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 Административно-деловые и хозяйственные учреждения</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Организации и учреждения управления</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 техническими регламентами</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Жилищно-эксплуатационные организации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объект на 20 тыс.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Отделения банков, операционная касса</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операц. окно</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операц. место (окно) на 2-3 тыс.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rPr>
          <w:cantSplit/>
          <w:trHeight w:val="23"/>
          <w:jc w:val="center"/>
        </w:trPr>
        <w:tc>
          <w:tcPr>
            <w:tcW w:w="43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Отделения связи</w:t>
            </w:r>
          </w:p>
        </w:tc>
        <w:tc>
          <w:tcPr>
            <w:tcW w:w="2126"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5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объект на 1-10 тыс. чел.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без учета потребности кадетского училища на 300 мест. </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 отметить, что основное увеличение  численности населения в поселении предусматривается за счет деревни  Большое Носакино, которая  практически будет создаваться заново и в котором, как и в любом современном населенном пункте  для жителей должна быть создана в требуемых объемах социальная инфраструктура. Расчет учреждений культурно-бытового обслуживания на расчетный срок  для населенного пункта д. Большое Носакино представлен ниже.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 потребности в новом строительстве учреждений культурно-бытового обслуживания на расчетный срок для д. Большое Носакино.</w:t>
      </w:r>
    </w:p>
    <w:tbl>
      <w:tblPr>
        <w:tblW w:w="4999" w:type="pct"/>
        <w:jc w:val="center"/>
        <w:tblInd w:w="5" w:type="dxa"/>
        <w:tblLayout w:type="fixed"/>
        <w:tblCellMar>
          <w:left w:w="0" w:type="dxa"/>
          <w:right w:w="0" w:type="dxa"/>
        </w:tblCellMar>
        <w:tblLook w:val="0000"/>
      </w:tblPr>
      <w:tblGrid>
        <w:gridCol w:w="396"/>
        <w:gridCol w:w="3637"/>
        <w:gridCol w:w="1880"/>
        <w:gridCol w:w="2367"/>
        <w:gridCol w:w="1083"/>
      </w:tblGrid>
      <w:tr w:rsidR="00201A0D" w:rsidRPr="00201A0D" w:rsidTr="00201A0D">
        <w:trPr>
          <w:trHeight w:hRule="exact" w:val="240"/>
          <w:tblHeader/>
          <w:jc w:val="center"/>
        </w:trPr>
        <w:tc>
          <w:tcPr>
            <w:tcW w:w="430" w:type="dxa"/>
            <w:vMerge w:val="restart"/>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п/п</w:t>
            </w:r>
          </w:p>
        </w:tc>
        <w:tc>
          <w:tcPr>
            <w:tcW w:w="3969" w:type="dxa"/>
            <w:vMerge w:val="restart"/>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w:t>
            </w:r>
          </w:p>
        </w:tc>
        <w:tc>
          <w:tcPr>
            <w:tcW w:w="2051" w:type="dxa"/>
            <w:vMerge w:val="restart"/>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 изм</w:t>
            </w:r>
          </w:p>
        </w:tc>
        <w:tc>
          <w:tcPr>
            <w:tcW w:w="376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1867* человек</w:t>
            </w:r>
          </w:p>
        </w:tc>
      </w:tr>
      <w:tr w:rsidR="00201A0D" w:rsidRPr="00201A0D" w:rsidTr="00201A0D">
        <w:trPr>
          <w:tblHeader/>
          <w:jc w:val="center"/>
        </w:trPr>
        <w:tc>
          <w:tcPr>
            <w:tcW w:w="430" w:type="dxa"/>
            <w:vMerge/>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c>
          <w:tcPr>
            <w:tcW w:w="3969" w:type="dxa"/>
            <w:vMerge/>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c>
          <w:tcPr>
            <w:tcW w:w="2051" w:type="dxa"/>
            <w:vMerge/>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норма</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емкость</w:t>
            </w:r>
          </w:p>
        </w:tc>
      </w:tr>
      <w:tr w:rsidR="00201A0D" w:rsidRPr="00201A0D" w:rsidTr="00201A0D">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 Учреждения образования</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Детские дошкольные учреждения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112</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Общеобразовательные школы</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187*</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Учреждения внешкольного образования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 от числа школьников</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w:t>
            </w:r>
          </w:p>
        </w:tc>
      </w:tr>
      <w:tr w:rsidR="00201A0D" w:rsidRPr="00201A0D" w:rsidTr="00201A0D">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 Учреждения здравоохранения и социального обеспечения</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Стационары всех типов</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койко-место</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13,5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Поликлиника, амбулатория, диспансер (без стационара)</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пос./см.</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18,2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34</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Станции скорой помощи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автомоб.</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на 10 тыс.чел. в пределах зоны 15-минут. доступности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Аптеки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 м2</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на 6,2 тыс. чел./10 м2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1/19</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Дома-интернаты для ветеранов и инвалидов</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 мест на 10000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Детский дом-интернат (4-17 лет)</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Психоневрологический интернат</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r>
      <w:tr w:rsidR="00201A0D" w:rsidRPr="00201A0D" w:rsidTr="00201A0D">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III Учреждения культуры и искусства</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Помещения для организации досуга населения (в застройке)</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50-60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112</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Клубы, дома культуры</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187</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Танцевальные залы, дискотеки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Библиотеки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 объектов или кол-во ед. хранения/кол-во чит. мест на 1 тыс.чел.</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на 1 тыс. чел. 5000-6000/4-5</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2/11200/9</w:t>
            </w:r>
          </w:p>
        </w:tc>
      </w:tr>
      <w:tr w:rsidR="00201A0D" w:rsidRPr="00201A0D" w:rsidTr="00201A0D">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IV Физкультурно-спортивные сооружения</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Спортивные залы общего пользования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м2 </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350 м2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653*</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Крытые бассейны общего пользования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 зеркала воды</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20-25 м2 зеркала воды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w:t>
            </w:r>
          </w:p>
        </w:tc>
      </w:tr>
      <w:tr w:rsidR="00201A0D" w:rsidRPr="00201A0D" w:rsidTr="00201A0D">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Торговля и общественное питание</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Магазины продовольственных и промышленных товаров</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400 м2 торговой площади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747</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Рыночные комплексы</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м2 торговой площади</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24-40 м2 торговой площади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75</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Предприятия общественного питания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75</w:t>
            </w:r>
          </w:p>
        </w:tc>
      </w:tr>
      <w:tr w:rsidR="00201A0D" w:rsidRPr="00201A0D" w:rsidTr="00201A0D">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 Учреждения и предприятия бытового и коммунального обслуживания</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Предприятия бытового обслуживания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рабочих 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 рабочих мест на 1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Прачечные</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кг. белья в смену</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 кг белья в смену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37</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Химчистки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кг/см.</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 кг вещей в смену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Бани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Гостиницы</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мест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 мест на 1000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Пункты приема вторичного сырья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объектов</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объект на 20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Пожарные депо</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автомашин</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машина на 1000 тыс. жит.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пределах 20 минут доступности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blPrEx>
          <w:tblCellMar>
            <w:left w:w="40" w:type="dxa"/>
            <w:right w:w="40" w:type="dxa"/>
          </w:tblCellMar>
        </w:tblPrEx>
        <w:trPr>
          <w:trHeight w:val="23"/>
          <w:jc w:val="center"/>
        </w:trPr>
        <w:tc>
          <w:tcPr>
            <w:tcW w:w="1021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VII Административно-деловые и хозяйственные учреждения</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Организации и учреждения управления</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 техническими регламентами</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Жилищно-эксплуатационные организации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объект на 20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Отделения банков, операционная касса</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операц. окно</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операц. место (окно) на 2-3 тыс. 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rPr>
          <w:trHeight w:val="23"/>
          <w:jc w:val="center"/>
        </w:trPr>
        <w:tc>
          <w:tcPr>
            <w:tcW w:w="430"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Отделения связи</w:t>
            </w:r>
          </w:p>
        </w:tc>
        <w:tc>
          <w:tcPr>
            <w:tcW w:w="2051"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582" w:type="dxa"/>
            <w:tcBorders>
              <w:top w:val="single" w:sz="4" w:space="0" w:color="000000"/>
              <w:left w:val="single" w:sz="4" w:space="0" w:color="000000"/>
              <w:bottom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 объект на 1-10 тыс.чел.</w:t>
            </w:r>
          </w:p>
        </w:tc>
        <w:tc>
          <w:tcPr>
            <w:tcW w:w="11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без учета потребности кадетского училища на 300 мест. </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на расчетный срок предполагается размещение следующих объектов: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 (мощности объектов подлежат уточнению при выполнении и утверждении технико-экономических параметров инвестиционного проекта):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центр боевых искусств на 450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концертно-выставочного центра на 200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административно-офисные объекты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объекты торговли;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торгово-развлекательного центра с кинотеатром общей вместимостью на 300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общеобразовательная школа на 260 мест и детский сад на 155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административно-офисный центр с гостиницей на 50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плоскостные спортивные сооружения;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СОК с бассейном;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открытая детская площадка;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автостанция;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гостиница на 80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лодочная станция;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поликлиника;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кафе на 50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охотничья база отдыха на 40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вышка сотовой связи;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военно-учебное заведение (кадетский корпус) на 300 мест.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Анютино: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Гвоздки: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Добывалово: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Красилово: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Марково: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плоскостное спортивное сооружение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отделение банка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Наволок: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д. Новая Ситенка: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Селище: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Старая Ситенка: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общественная баня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Старина: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плоскостное спортивное сооружение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Старово: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плоскостное спортивное сооружение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Харитониха: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плоскостное спортивное сооружение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Труфаново: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плоскостное спортивное сооружение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производственное предприятие (деревообработка)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тепличное хозяйство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придорожный комплекс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пожарное депо на 2 автомашины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опорный пункт охраны порядка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отделение банка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Потребность в объектах специального назначения.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Кладбища.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Норма обеспеченности земельным участком на кладбище традиционного захоронения составляет </w:t>
      </w:r>
      <w:smartTag w:uri="urn:schemas-microsoft-com:office:smarttags" w:element="metricconverter">
        <w:smartTagPr>
          <w:attr w:name="ProductID" w:val="0,24 га"/>
        </w:smartTagPr>
        <w:r w:rsidRPr="00201A0D">
          <w:rPr>
            <w:rFonts w:ascii="Times New Roman" w:hAnsi="Times New Roman" w:cs="Times New Roman"/>
            <w:sz w:val="20"/>
            <w:szCs w:val="20"/>
          </w:rPr>
          <w:t>0,24 га</w:t>
        </w:r>
      </w:smartTag>
      <w:r w:rsidRPr="00201A0D">
        <w:rPr>
          <w:rFonts w:ascii="Times New Roman" w:hAnsi="Times New Roman" w:cs="Times New Roman"/>
          <w:sz w:val="20"/>
          <w:szCs w:val="20"/>
        </w:rPr>
        <w:t xml:space="preserve"> на 1 тыс. чел. С учетом роста численности населения за расчетный срок и коэффициента смертности, размер земельного участка необходимого для организации кладбища в поселении на расчетный период составляет 0,63 га.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Требуется создание нового  кладбища.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Полигоны твердых бытовых отходов.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Количество образующихся отходов за расчетный срок на территории Едровского сельского поселения составит 126000 м3.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настоящее время твердые бытовые отходы вывозят на полигон ТБО у п. Выскодно-2. Площадь полигона – </w:t>
      </w:r>
      <w:smartTag w:uri="urn:schemas-microsoft-com:office:smarttags" w:element="metricconverter">
        <w:smartTagPr>
          <w:attr w:name="ProductID" w:val="5 га"/>
        </w:smartTagPr>
        <w:r w:rsidRPr="00201A0D">
          <w:rPr>
            <w:rFonts w:ascii="Times New Roman" w:hAnsi="Times New Roman" w:cs="Times New Roman"/>
            <w:sz w:val="20"/>
            <w:szCs w:val="20"/>
          </w:rPr>
          <w:t>5 га</w:t>
        </w:r>
      </w:smartTag>
      <w:r w:rsidRPr="00201A0D">
        <w:rPr>
          <w:rFonts w:ascii="Times New Roman" w:hAnsi="Times New Roman" w:cs="Times New Roman"/>
          <w:sz w:val="20"/>
          <w:szCs w:val="20"/>
        </w:rPr>
        <w:t xml:space="preserve">, степень заполнения – 60 %. В перспективе планируется использование этого же полигона либо иного </w:t>
      </w:r>
      <w:r w:rsidRPr="00201A0D">
        <w:rPr>
          <w:rFonts w:ascii="Times New Roman" w:hAnsi="Times New Roman" w:cs="Times New Roman"/>
          <w:sz w:val="20"/>
          <w:szCs w:val="20"/>
        </w:rPr>
        <w:lastRenderedPageBreak/>
        <w:t>другого на территории Валдайского МР, местоположение которого определяется на следующих стадиях проектирования. На расчетный срок строительства полигонов ТБО на территории поселения не требуется.</w:t>
      </w:r>
    </w:p>
    <w:p w:rsidR="00201A0D" w:rsidRPr="00201A0D" w:rsidRDefault="00201A0D" w:rsidP="00201A0D">
      <w:pPr>
        <w:spacing w:after="0"/>
        <w:jc w:val="both"/>
        <w:rPr>
          <w:rFonts w:ascii="Times New Roman" w:hAnsi="Times New Roman" w:cs="Times New Roman"/>
          <w:sz w:val="20"/>
          <w:szCs w:val="20"/>
        </w:rPr>
      </w:pPr>
      <w:bookmarkStart w:id="41" w:name="_Toc363654778"/>
      <w:bookmarkStart w:id="42" w:name="_Toc433382425"/>
      <w:r w:rsidRPr="00201A0D">
        <w:rPr>
          <w:rFonts w:ascii="Times New Roman" w:hAnsi="Times New Roman" w:cs="Times New Roman"/>
          <w:sz w:val="20"/>
          <w:szCs w:val="20"/>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41"/>
      <w:bookmarkEnd w:id="42"/>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Оценка возможного влияния планируемых для размещения объектов местного, регионального и федерального значения осуществлена: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планируемого сценария развития поселения на расчетный срок;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влияния каждого размещаемого объекта на инфраструктуру, экологию, возможность возникновения ЧС.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Выводы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Едровское сельское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Едровское сельское поселение. Размещение этих объектов на территории не приведет к изменениям сложившегося строения населенных пунктов поселения, не окажет негативного воздействия на инфраструктуру и экологию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w:t>
      </w:r>
    </w:p>
    <w:p w:rsidR="00201A0D" w:rsidRPr="00201A0D" w:rsidRDefault="00201A0D" w:rsidP="00201A0D">
      <w:pPr>
        <w:spacing w:after="0"/>
        <w:jc w:val="both"/>
        <w:rPr>
          <w:rFonts w:ascii="Times New Roman" w:hAnsi="Times New Roman" w:cs="Times New Roman"/>
          <w:sz w:val="20"/>
          <w:szCs w:val="20"/>
        </w:rPr>
      </w:pPr>
      <w:bookmarkStart w:id="43" w:name="_Toc347315731"/>
      <w:bookmarkStart w:id="44" w:name="_Toc363654779"/>
      <w:bookmarkStart w:id="45" w:name="_Toc433382426"/>
      <w:r w:rsidRPr="00201A0D">
        <w:rPr>
          <w:rFonts w:ascii="Times New Roman" w:hAnsi="Times New Roman" w:cs="Times New Roman"/>
          <w:sz w:val="20"/>
          <w:szCs w:val="20"/>
        </w:rPr>
        <w:t>4.1. Сведения о видах, назначении и наименованиях планируемых для размещения объектах федерального и регионального значения муниципального образования, их основные характеристики и местоположение.</w:t>
      </w:r>
      <w:bookmarkEnd w:id="43"/>
      <w:bookmarkEnd w:id="44"/>
      <w:bookmarkEnd w:id="45"/>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Размещение объектов федерального значения на территории Едровского сельского поселения не предусмотрено.</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с изменениями от 20.02.2015 №56) на территории Едровского сельского поселения планируется размещение новых объектов регионального значения, перечень которых представлен ниже (нумерация объектов в соответствии с постановлением от 20.02.2015 №56) в таблице 4.1.1. </w:t>
      </w:r>
    </w:p>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Таблица 4.1.1.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Перечень объектов регионального значения, планируемых для размещения на территориях муниципального образования.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201A0D" w:rsidRPr="00201A0D" w:rsidRDefault="00201A0D" w:rsidP="00201A0D">
      <w:pPr>
        <w:spacing w:after="0"/>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2158"/>
        <w:gridCol w:w="1400"/>
        <w:gridCol w:w="1545"/>
        <w:gridCol w:w="2211"/>
        <w:gridCol w:w="1624"/>
      </w:tblGrid>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9745" w:type="dxa"/>
            <w:gridSpan w:val="5"/>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w:t>
            </w:r>
          </w:p>
        </w:tc>
        <w:tc>
          <w:tcPr>
            <w:tcW w:w="2358"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Объект капитального строительства в области предупрежден</w:t>
            </w:r>
            <w:r w:rsidR="003C0C73">
              <w:rPr>
                <w:rFonts w:ascii="Times New Roman" w:hAnsi="Times New Roman" w:cs="Times New Roman"/>
                <w:sz w:val="20"/>
                <w:szCs w:val="20"/>
              </w:rPr>
              <w:t>ия чрезвычайных ситуаций природ</w:t>
            </w:r>
            <w:r w:rsidRPr="00201A0D">
              <w:rPr>
                <w:rFonts w:ascii="Times New Roman" w:hAnsi="Times New Roman" w:cs="Times New Roman"/>
                <w:sz w:val="20"/>
                <w:szCs w:val="20"/>
              </w:rPr>
              <w:t xml:space="preserve">ного и техногенного </w:t>
            </w:r>
            <w:r w:rsidRPr="00201A0D">
              <w:rPr>
                <w:rFonts w:ascii="Times New Roman" w:hAnsi="Times New Roman" w:cs="Times New Roman"/>
                <w:sz w:val="20"/>
                <w:szCs w:val="20"/>
              </w:rPr>
              <w:br/>
              <w:t>характера, стихийных бедствий, эпидемий и ликвидация их последствий</w:t>
            </w:r>
          </w:p>
        </w:tc>
        <w:tc>
          <w:tcPr>
            <w:tcW w:w="1521"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строительство пожарных депо на 2 автомобиля</w:t>
            </w:r>
          </w:p>
        </w:tc>
        <w:tc>
          <w:tcPr>
            <w:tcW w:w="1681"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определяется проектной </w:t>
            </w:r>
            <w:r w:rsidRPr="00201A0D">
              <w:rPr>
                <w:rFonts w:ascii="Times New Roman" w:hAnsi="Times New Roman" w:cs="Times New Roman"/>
                <w:sz w:val="20"/>
                <w:szCs w:val="20"/>
              </w:rPr>
              <w:br/>
              <w:t>документацией</w:t>
            </w:r>
          </w:p>
        </w:tc>
        <w:tc>
          <w:tcPr>
            <w:tcW w:w="2417"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Валдайский район, с.Едрово</w:t>
            </w:r>
          </w:p>
          <w:p w:rsidR="00201A0D" w:rsidRPr="00201A0D" w:rsidRDefault="00201A0D" w:rsidP="00201A0D">
            <w:pPr>
              <w:spacing w:after="0"/>
              <w:jc w:val="both"/>
              <w:rPr>
                <w:rFonts w:ascii="Times New Roman" w:hAnsi="Times New Roman" w:cs="Times New Roman"/>
                <w:sz w:val="20"/>
                <w:szCs w:val="20"/>
              </w:rPr>
            </w:pPr>
          </w:p>
        </w:tc>
        <w:tc>
          <w:tcPr>
            <w:tcW w:w="1768" w:type="dxa"/>
            <w:shd w:val="clear" w:color="auto" w:fill="auto"/>
          </w:tcPr>
          <w:p w:rsidR="00201A0D" w:rsidRPr="00201A0D" w:rsidRDefault="003C0C73" w:rsidP="00201A0D">
            <w:pPr>
              <w:spacing w:after="0"/>
              <w:jc w:val="both"/>
              <w:rPr>
                <w:rFonts w:ascii="Times New Roman" w:hAnsi="Times New Roman" w:cs="Times New Roman"/>
                <w:sz w:val="20"/>
                <w:szCs w:val="20"/>
              </w:rPr>
            </w:pPr>
            <w:r>
              <w:rPr>
                <w:rFonts w:ascii="Times New Roman" w:hAnsi="Times New Roman" w:cs="Times New Roman"/>
                <w:sz w:val="20"/>
                <w:szCs w:val="20"/>
              </w:rPr>
              <w:t>СЗЗ в соответст</w:t>
            </w:r>
            <w:r w:rsidR="00201A0D" w:rsidRPr="00201A0D">
              <w:rPr>
                <w:rFonts w:ascii="Times New Roman" w:hAnsi="Times New Roman" w:cs="Times New Roman"/>
                <w:sz w:val="20"/>
                <w:szCs w:val="20"/>
              </w:rPr>
              <w:t>вии с СанПиН 2.2.1/2.1.1.1200-03</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 Участки недр местного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633"/>
        <w:gridCol w:w="1603"/>
        <w:gridCol w:w="1459"/>
        <w:gridCol w:w="1630"/>
        <w:gridCol w:w="2312"/>
        <w:gridCol w:w="1934"/>
      </w:tblGrid>
      <w:tr w:rsidR="00201A0D" w:rsidRPr="00201A0D" w:rsidTr="00201A0D">
        <w:tc>
          <w:tcPr>
            <w:tcW w:w="675"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745"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Назначение </w:t>
            </w:r>
            <w:r w:rsidRPr="00201A0D">
              <w:rPr>
                <w:rFonts w:ascii="Times New Roman" w:hAnsi="Times New Roman" w:cs="Times New Roman"/>
                <w:sz w:val="20"/>
                <w:szCs w:val="20"/>
              </w:rPr>
              <w:br/>
              <w:t xml:space="preserve">объекта </w:t>
            </w:r>
            <w:r w:rsidRPr="00201A0D">
              <w:rPr>
                <w:rFonts w:ascii="Times New Roman" w:hAnsi="Times New Roman" w:cs="Times New Roman"/>
                <w:sz w:val="20"/>
                <w:szCs w:val="20"/>
              </w:rPr>
              <w:br/>
              <w:t xml:space="preserve">регионального </w:t>
            </w:r>
            <w:r w:rsidRPr="00201A0D">
              <w:rPr>
                <w:rFonts w:ascii="Times New Roman" w:hAnsi="Times New Roman" w:cs="Times New Roman"/>
                <w:sz w:val="20"/>
                <w:szCs w:val="20"/>
              </w:rPr>
              <w:br/>
            </w:r>
            <w:r w:rsidRPr="00201A0D">
              <w:rPr>
                <w:rFonts w:ascii="Times New Roman" w:hAnsi="Times New Roman" w:cs="Times New Roman"/>
                <w:sz w:val="20"/>
                <w:szCs w:val="20"/>
              </w:rPr>
              <w:lastRenderedPageBreak/>
              <w:t>значения</w:t>
            </w:r>
          </w:p>
        </w:tc>
        <w:tc>
          <w:tcPr>
            <w:tcW w:w="1586"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Наименование</w:t>
            </w:r>
          </w:p>
        </w:tc>
        <w:tc>
          <w:tcPr>
            <w:tcW w:w="1775"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Краткая </w:t>
            </w:r>
            <w:r w:rsidRPr="00201A0D">
              <w:rPr>
                <w:rFonts w:ascii="Times New Roman" w:hAnsi="Times New Roman" w:cs="Times New Roman"/>
                <w:sz w:val="20"/>
                <w:szCs w:val="20"/>
              </w:rPr>
              <w:br/>
              <w:t xml:space="preserve">характеристика </w:t>
            </w:r>
            <w:r w:rsidRPr="00201A0D">
              <w:rPr>
                <w:rFonts w:ascii="Times New Roman" w:hAnsi="Times New Roman" w:cs="Times New Roman"/>
                <w:sz w:val="20"/>
                <w:szCs w:val="20"/>
              </w:rPr>
              <w:br/>
              <w:t>объекта</w:t>
            </w:r>
          </w:p>
        </w:tc>
        <w:tc>
          <w:tcPr>
            <w:tcW w:w="2528"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Местоположение </w:t>
            </w:r>
            <w:r w:rsidRPr="00201A0D">
              <w:rPr>
                <w:rFonts w:ascii="Times New Roman" w:hAnsi="Times New Roman" w:cs="Times New Roman"/>
                <w:sz w:val="20"/>
                <w:szCs w:val="20"/>
              </w:rPr>
              <w:br/>
              <w:t>планируемого</w:t>
            </w:r>
            <w:r w:rsidRPr="00201A0D">
              <w:rPr>
                <w:rFonts w:ascii="Times New Roman" w:hAnsi="Times New Roman" w:cs="Times New Roman"/>
                <w:sz w:val="20"/>
                <w:szCs w:val="20"/>
              </w:rPr>
              <w:br/>
              <w:t>объекта</w:t>
            </w:r>
          </w:p>
        </w:tc>
        <w:tc>
          <w:tcPr>
            <w:tcW w:w="2111"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w:t>
            </w:r>
            <w:r w:rsidR="003C0C73">
              <w:rPr>
                <w:rFonts w:ascii="Times New Roman" w:hAnsi="Times New Roman" w:cs="Times New Roman"/>
                <w:sz w:val="20"/>
                <w:szCs w:val="20"/>
              </w:rPr>
              <w:t xml:space="preserve">ы с особыми </w:t>
            </w:r>
            <w:r w:rsidR="003C0C73">
              <w:rPr>
                <w:rFonts w:ascii="Times New Roman" w:hAnsi="Times New Roman" w:cs="Times New Roman"/>
                <w:sz w:val="20"/>
                <w:szCs w:val="20"/>
              </w:rPr>
              <w:br/>
              <w:t>условиями использо</w:t>
            </w:r>
            <w:r w:rsidRPr="00201A0D">
              <w:rPr>
                <w:rFonts w:ascii="Times New Roman" w:hAnsi="Times New Roman" w:cs="Times New Roman"/>
                <w:sz w:val="20"/>
                <w:szCs w:val="20"/>
              </w:rPr>
              <w:t xml:space="preserve">вания </w:t>
            </w:r>
            <w:r w:rsidRPr="00201A0D">
              <w:rPr>
                <w:rFonts w:ascii="Times New Roman" w:hAnsi="Times New Roman" w:cs="Times New Roman"/>
                <w:sz w:val="20"/>
                <w:szCs w:val="20"/>
              </w:rPr>
              <w:lastRenderedPageBreak/>
              <w:t>территории</w:t>
            </w:r>
          </w:p>
        </w:tc>
      </w:tr>
    </w:tbl>
    <w:p w:rsidR="00201A0D" w:rsidRPr="00201A0D" w:rsidRDefault="00201A0D" w:rsidP="00201A0D">
      <w:pPr>
        <w:spacing w:after="0"/>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1603"/>
        <w:gridCol w:w="532"/>
        <w:gridCol w:w="926"/>
        <w:gridCol w:w="899"/>
        <w:gridCol w:w="731"/>
        <w:gridCol w:w="1312"/>
        <w:gridCol w:w="1000"/>
        <w:gridCol w:w="1934"/>
      </w:tblGrid>
      <w:tr w:rsidR="00201A0D" w:rsidRPr="00201A0D" w:rsidTr="00201A0D">
        <w:trPr>
          <w:tblHeader/>
        </w:trPr>
        <w:tc>
          <w:tcPr>
            <w:tcW w:w="675"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745"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1586" w:type="dxa"/>
            <w:gridSpan w:val="2"/>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775" w:type="dxa"/>
            <w:gridSpan w:val="2"/>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2528" w:type="dxa"/>
            <w:gridSpan w:val="2"/>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111"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r>
      <w:tr w:rsidR="00201A0D" w:rsidRPr="00201A0D" w:rsidTr="00201A0D">
        <w:trPr>
          <w:trHeight w:val="60"/>
        </w:trPr>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9745" w:type="dxa"/>
            <w:gridSpan w:val="8"/>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1.32.</w:t>
            </w:r>
          </w:p>
        </w:tc>
        <w:tc>
          <w:tcPr>
            <w:tcW w:w="232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c>
          <w:tcPr>
            <w:tcW w:w="1986"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«Добывалово» техногенное</w:t>
            </w:r>
          </w:p>
        </w:tc>
        <w:tc>
          <w:tcPr>
            <w:tcW w:w="223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песчано-гравийная смесь</w:t>
            </w:r>
          </w:p>
        </w:tc>
        <w:tc>
          <w:tcPr>
            <w:tcW w:w="3207"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smartTag w:uri="urn:schemas-microsoft-com:office:smarttags" w:element="metricconverter">
              <w:smartTagPr>
                <w:attr w:name="ProductID" w:val="18 км"/>
              </w:smartTagPr>
              <w:r w:rsidRPr="00201A0D">
                <w:rPr>
                  <w:rFonts w:ascii="Times New Roman" w:hAnsi="Times New Roman" w:cs="Times New Roman"/>
                  <w:sz w:val="20"/>
                  <w:szCs w:val="20"/>
                </w:rPr>
                <w:t>18 км</w:t>
              </w:r>
            </w:smartTag>
            <w:r w:rsidRPr="00201A0D">
              <w:rPr>
                <w:rFonts w:ascii="Times New Roman" w:hAnsi="Times New Roman" w:cs="Times New Roman"/>
                <w:sz w:val="20"/>
                <w:szCs w:val="20"/>
              </w:rPr>
              <w:t xml:space="preserve"> </w:t>
            </w:r>
            <w:r w:rsidRPr="00201A0D">
              <w:rPr>
                <w:rFonts w:ascii="Times New Roman" w:hAnsi="Times New Roman" w:cs="Times New Roman"/>
                <w:sz w:val="20"/>
                <w:szCs w:val="20"/>
              </w:rPr>
              <w:br/>
              <w:t>на северо-запад от с.Едрово</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1.33.</w:t>
            </w:r>
          </w:p>
        </w:tc>
        <w:tc>
          <w:tcPr>
            <w:tcW w:w="232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c>
          <w:tcPr>
            <w:tcW w:w="1986"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«Добывалово-2»</w:t>
            </w:r>
          </w:p>
        </w:tc>
        <w:tc>
          <w:tcPr>
            <w:tcW w:w="223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песок</w:t>
            </w:r>
          </w:p>
        </w:tc>
        <w:tc>
          <w:tcPr>
            <w:tcW w:w="3207"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smartTag w:uri="urn:schemas-microsoft-com:office:smarttags" w:element="metricconverter">
              <w:smartTagPr>
                <w:attr w:name="ProductID" w:val="1 км"/>
              </w:smartTagPr>
              <w:r w:rsidRPr="00201A0D">
                <w:rPr>
                  <w:rFonts w:ascii="Times New Roman" w:hAnsi="Times New Roman" w:cs="Times New Roman"/>
                  <w:sz w:val="20"/>
                  <w:szCs w:val="20"/>
                </w:rPr>
                <w:t>1 км</w:t>
              </w:r>
            </w:smartTag>
            <w:r w:rsidRPr="00201A0D">
              <w:rPr>
                <w:rFonts w:ascii="Times New Roman" w:hAnsi="Times New Roman" w:cs="Times New Roman"/>
                <w:sz w:val="20"/>
                <w:szCs w:val="20"/>
              </w:rPr>
              <w:t xml:space="preserve"> на юг от д.Добывалово</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1.34.</w:t>
            </w:r>
          </w:p>
        </w:tc>
        <w:tc>
          <w:tcPr>
            <w:tcW w:w="232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c>
          <w:tcPr>
            <w:tcW w:w="1986"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«Добывалово» участок № 5</w:t>
            </w:r>
          </w:p>
        </w:tc>
        <w:tc>
          <w:tcPr>
            <w:tcW w:w="223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песок</w:t>
            </w:r>
          </w:p>
        </w:tc>
        <w:tc>
          <w:tcPr>
            <w:tcW w:w="3207"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smartTag w:uri="urn:schemas-microsoft-com:office:smarttags" w:element="metricconverter">
              <w:smartTagPr>
                <w:attr w:name="ProductID" w:val="1 км"/>
              </w:smartTagPr>
              <w:r w:rsidRPr="00201A0D">
                <w:rPr>
                  <w:rFonts w:ascii="Times New Roman" w:hAnsi="Times New Roman" w:cs="Times New Roman"/>
                  <w:sz w:val="20"/>
                  <w:szCs w:val="20"/>
                </w:rPr>
                <w:t>1 км</w:t>
              </w:r>
            </w:smartTag>
            <w:r w:rsidRPr="00201A0D">
              <w:rPr>
                <w:rFonts w:ascii="Times New Roman" w:hAnsi="Times New Roman" w:cs="Times New Roman"/>
                <w:sz w:val="20"/>
                <w:szCs w:val="20"/>
              </w:rPr>
              <w:t xml:space="preserve"> на юго-запад от д.Добывалово</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1.35.</w:t>
            </w:r>
          </w:p>
        </w:tc>
        <w:tc>
          <w:tcPr>
            <w:tcW w:w="232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c>
          <w:tcPr>
            <w:tcW w:w="1986"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«Едрово» (отвал) техногенное</w:t>
            </w:r>
          </w:p>
        </w:tc>
        <w:tc>
          <w:tcPr>
            <w:tcW w:w="223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песчано-гравийная смесь</w:t>
            </w:r>
          </w:p>
        </w:tc>
        <w:tc>
          <w:tcPr>
            <w:tcW w:w="3207"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smartTag w:uri="urn:schemas-microsoft-com:office:smarttags" w:element="metricconverter">
              <w:smartTagPr>
                <w:attr w:name="ProductID" w:val="1,5 км"/>
              </w:smartTagPr>
              <w:r w:rsidRPr="00201A0D">
                <w:rPr>
                  <w:rFonts w:ascii="Times New Roman" w:hAnsi="Times New Roman" w:cs="Times New Roman"/>
                  <w:sz w:val="20"/>
                  <w:szCs w:val="20"/>
                </w:rPr>
                <w:t>1,5 км</w:t>
              </w:r>
            </w:smartTag>
            <w:r w:rsidRPr="00201A0D">
              <w:rPr>
                <w:rFonts w:ascii="Times New Roman" w:hAnsi="Times New Roman" w:cs="Times New Roman"/>
                <w:sz w:val="20"/>
                <w:szCs w:val="20"/>
              </w:rPr>
              <w:t xml:space="preserve"> на запад от ж/д.ст.Едрово</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1.36.</w:t>
            </w:r>
          </w:p>
        </w:tc>
        <w:tc>
          <w:tcPr>
            <w:tcW w:w="232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c>
          <w:tcPr>
            <w:tcW w:w="1986"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«Маяки» участок «Северный»</w:t>
            </w:r>
          </w:p>
        </w:tc>
        <w:tc>
          <w:tcPr>
            <w:tcW w:w="223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песчано-гравийная смесь</w:t>
            </w:r>
          </w:p>
        </w:tc>
        <w:tc>
          <w:tcPr>
            <w:tcW w:w="3207"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smartTag w:uri="urn:schemas-microsoft-com:office:smarttags" w:element="metricconverter">
              <w:smartTagPr>
                <w:attr w:name="ProductID" w:val="0,7 км"/>
              </w:smartTagPr>
              <w:r w:rsidRPr="00201A0D">
                <w:rPr>
                  <w:rFonts w:ascii="Times New Roman" w:hAnsi="Times New Roman" w:cs="Times New Roman"/>
                  <w:sz w:val="20"/>
                  <w:szCs w:val="20"/>
                </w:rPr>
                <w:t>0,7 км</w:t>
              </w:r>
            </w:smartTag>
            <w:r w:rsidRPr="00201A0D">
              <w:rPr>
                <w:rFonts w:ascii="Times New Roman" w:hAnsi="Times New Roman" w:cs="Times New Roman"/>
                <w:sz w:val="20"/>
                <w:szCs w:val="20"/>
              </w:rPr>
              <w:t xml:space="preserve"> </w:t>
            </w:r>
            <w:r w:rsidRPr="00201A0D">
              <w:rPr>
                <w:rFonts w:ascii="Times New Roman" w:hAnsi="Times New Roman" w:cs="Times New Roman"/>
                <w:sz w:val="20"/>
                <w:szCs w:val="20"/>
              </w:rPr>
              <w:br/>
              <w:t>к востоку от ж/д.ст.Едрово</w:t>
            </w:r>
          </w:p>
        </w:tc>
      </w:tr>
      <w:tr w:rsidR="00201A0D" w:rsidRPr="00201A0D" w:rsidTr="00201A0D">
        <w:tc>
          <w:tcPr>
            <w:tcW w:w="675"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1.37.</w:t>
            </w:r>
          </w:p>
        </w:tc>
        <w:tc>
          <w:tcPr>
            <w:tcW w:w="232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Участки недр местного значения</w:t>
            </w:r>
          </w:p>
        </w:tc>
        <w:tc>
          <w:tcPr>
            <w:tcW w:w="1986"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«Маяки» участок «Южный»</w:t>
            </w:r>
          </w:p>
        </w:tc>
        <w:tc>
          <w:tcPr>
            <w:tcW w:w="2231"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песок, валунно-гравийно-песчаная смесь</w:t>
            </w:r>
          </w:p>
        </w:tc>
        <w:tc>
          <w:tcPr>
            <w:tcW w:w="3207"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smartTag w:uri="urn:schemas-microsoft-com:office:smarttags" w:element="metricconverter">
              <w:smartTagPr>
                <w:attr w:name="ProductID" w:val="24 км"/>
              </w:smartTagPr>
              <w:r w:rsidRPr="00201A0D">
                <w:rPr>
                  <w:rFonts w:ascii="Times New Roman" w:hAnsi="Times New Roman" w:cs="Times New Roman"/>
                  <w:sz w:val="20"/>
                  <w:szCs w:val="20"/>
                </w:rPr>
                <w:t>24 км</w:t>
              </w:r>
            </w:smartTag>
            <w:r w:rsidRPr="00201A0D">
              <w:rPr>
                <w:rFonts w:ascii="Times New Roman" w:hAnsi="Times New Roman" w:cs="Times New Roman"/>
                <w:sz w:val="20"/>
                <w:szCs w:val="20"/>
              </w:rPr>
              <w:t xml:space="preserve">  к востоку от г.Валдай, 0,7 км от с.Едрово</w:t>
            </w:r>
          </w:p>
        </w:tc>
      </w:tr>
    </w:tbl>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4.3. Инвестиционные площадки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92"/>
        <w:gridCol w:w="1475"/>
        <w:gridCol w:w="2132"/>
        <w:gridCol w:w="1552"/>
        <w:gridCol w:w="2151"/>
        <w:gridCol w:w="1669"/>
      </w:tblGrid>
      <w:tr w:rsidR="00201A0D" w:rsidRPr="00201A0D" w:rsidTr="00201A0D">
        <w:trPr>
          <w:trHeight w:val="635"/>
        </w:trPr>
        <w:tc>
          <w:tcPr>
            <w:tcW w:w="630"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1604"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Назначение </w:t>
            </w:r>
            <w:r w:rsidRPr="00201A0D">
              <w:rPr>
                <w:rFonts w:ascii="Times New Roman" w:hAnsi="Times New Roman" w:cs="Times New Roman"/>
                <w:sz w:val="20"/>
                <w:szCs w:val="20"/>
              </w:rPr>
              <w:br/>
              <w:t xml:space="preserve">объекта </w:t>
            </w:r>
            <w:r w:rsidRPr="00201A0D">
              <w:rPr>
                <w:rFonts w:ascii="Times New Roman" w:hAnsi="Times New Roman" w:cs="Times New Roman"/>
                <w:sz w:val="20"/>
                <w:szCs w:val="20"/>
              </w:rPr>
              <w:br/>
              <w:t>регионального значения</w:t>
            </w:r>
          </w:p>
        </w:tc>
        <w:tc>
          <w:tcPr>
            <w:tcW w:w="2329"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объекта</w:t>
            </w:r>
          </w:p>
        </w:tc>
        <w:tc>
          <w:tcPr>
            <w:tcW w:w="1689"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Краткая </w:t>
            </w:r>
            <w:r w:rsidRPr="00201A0D">
              <w:rPr>
                <w:rFonts w:ascii="Times New Roman" w:hAnsi="Times New Roman" w:cs="Times New Roman"/>
                <w:sz w:val="20"/>
                <w:szCs w:val="20"/>
              </w:rPr>
              <w:br/>
              <w:t>характеристика объекта</w:t>
            </w:r>
          </w:p>
        </w:tc>
        <w:tc>
          <w:tcPr>
            <w:tcW w:w="2350"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Местоположение </w:t>
            </w:r>
            <w:r w:rsidRPr="00201A0D">
              <w:rPr>
                <w:rFonts w:ascii="Times New Roman" w:hAnsi="Times New Roman" w:cs="Times New Roman"/>
                <w:sz w:val="20"/>
                <w:szCs w:val="20"/>
              </w:rPr>
              <w:br/>
              <w:t>планируемого объекта</w:t>
            </w:r>
          </w:p>
        </w:tc>
        <w:tc>
          <w:tcPr>
            <w:tcW w:w="1818"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Зоны с особыми условиями использования территории</w:t>
            </w:r>
          </w:p>
        </w:tc>
      </w:tr>
    </w:tbl>
    <w:p w:rsidR="00201A0D" w:rsidRPr="00201A0D" w:rsidRDefault="00201A0D" w:rsidP="00201A0D">
      <w:pPr>
        <w:spacing w:after="0"/>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13"/>
        <w:gridCol w:w="1462"/>
        <w:gridCol w:w="2132"/>
        <w:gridCol w:w="1552"/>
        <w:gridCol w:w="2151"/>
        <w:gridCol w:w="1669"/>
      </w:tblGrid>
      <w:tr w:rsidR="00201A0D" w:rsidRPr="00201A0D" w:rsidTr="00201A0D">
        <w:trPr>
          <w:tblHeader/>
        </w:trPr>
        <w:tc>
          <w:tcPr>
            <w:tcW w:w="630"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1604" w:type="dxa"/>
            <w:gridSpan w:val="2"/>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329"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tc>
        <w:tc>
          <w:tcPr>
            <w:tcW w:w="1689"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c>
          <w:tcPr>
            <w:tcW w:w="2350"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1818" w:type="dxa"/>
            <w:shd w:val="clear" w:color="auto" w:fill="auto"/>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r>
      <w:tr w:rsidR="00201A0D" w:rsidRPr="00201A0D" w:rsidTr="00201A0D">
        <w:tc>
          <w:tcPr>
            <w:tcW w:w="643"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c>
          <w:tcPr>
            <w:tcW w:w="9777" w:type="dxa"/>
            <w:gridSpan w:val="5"/>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Инвестиционные площадки для размещения иных инвестиционных объектов</w:t>
            </w:r>
          </w:p>
        </w:tc>
      </w:tr>
      <w:tr w:rsidR="00201A0D" w:rsidRPr="00201A0D" w:rsidTr="00201A0D">
        <w:tc>
          <w:tcPr>
            <w:tcW w:w="63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7.4.</w:t>
            </w:r>
          </w:p>
        </w:tc>
        <w:tc>
          <w:tcPr>
            <w:tcW w:w="1604"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Инвестиционная площадка</w:t>
            </w:r>
          </w:p>
        </w:tc>
        <w:tc>
          <w:tcPr>
            <w:tcW w:w="232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«Едрово-1» (для любых целей)</w:t>
            </w:r>
          </w:p>
        </w:tc>
        <w:tc>
          <w:tcPr>
            <w:tcW w:w="168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10 га</w:t>
            </w:r>
          </w:p>
        </w:tc>
        <w:tc>
          <w:tcPr>
            <w:tcW w:w="235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Валдайский район, с.Едрово, 364-й км трассы Москва – Санкт-Петербург</w:t>
            </w:r>
          </w:p>
        </w:tc>
        <w:tc>
          <w:tcPr>
            <w:tcW w:w="1818"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СЗЗ – 0,5 км</w:t>
            </w:r>
          </w:p>
        </w:tc>
      </w:tr>
      <w:tr w:rsidR="00201A0D" w:rsidRPr="00201A0D" w:rsidTr="00201A0D">
        <w:tc>
          <w:tcPr>
            <w:tcW w:w="63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7.5.</w:t>
            </w:r>
          </w:p>
        </w:tc>
        <w:tc>
          <w:tcPr>
            <w:tcW w:w="1604"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Инвестиционная площадка</w:t>
            </w:r>
          </w:p>
        </w:tc>
        <w:tc>
          <w:tcPr>
            <w:tcW w:w="232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«Едрово-2» (для любых целей)</w:t>
            </w:r>
          </w:p>
        </w:tc>
        <w:tc>
          <w:tcPr>
            <w:tcW w:w="168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9,5 га</w:t>
            </w:r>
          </w:p>
        </w:tc>
        <w:tc>
          <w:tcPr>
            <w:tcW w:w="235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r w:rsidRPr="00201A0D">
              <w:rPr>
                <w:rFonts w:ascii="Times New Roman" w:hAnsi="Times New Roman" w:cs="Times New Roman"/>
                <w:sz w:val="20"/>
                <w:szCs w:val="20"/>
              </w:rPr>
              <w:br/>
              <w:t>с.Едрово, 365-й км трассы Москва – Санкт-Петербург</w:t>
            </w:r>
          </w:p>
        </w:tc>
        <w:tc>
          <w:tcPr>
            <w:tcW w:w="1818"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соответствии </w:t>
            </w:r>
            <w:r w:rsidRPr="00201A0D">
              <w:rPr>
                <w:rFonts w:ascii="Times New Roman" w:hAnsi="Times New Roman" w:cs="Times New Roman"/>
                <w:sz w:val="20"/>
                <w:szCs w:val="20"/>
              </w:rPr>
              <w:br/>
              <w:t>с СанПиН 2.2.1/2.1.1.1200-03</w:t>
            </w:r>
          </w:p>
        </w:tc>
      </w:tr>
      <w:tr w:rsidR="00201A0D" w:rsidRPr="00201A0D" w:rsidTr="00201A0D">
        <w:tc>
          <w:tcPr>
            <w:tcW w:w="63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7.6.</w:t>
            </w:r>
          </w:p>
        </w:tc>
        <w:tc>
          <w:tcPr>
            <w:tcW w:w="1604"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Инвестиционная площадка</w:t>
            </w:r>
          </w:p>
        </w:tc>
        <w:tc>
          <w:tcPr>
            <w:tcW w:w="232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«Едрово-3» (для любых целей)</w:t>
            </w:r>
          </w:p>
        </w:tc>
        <w:tc>
          <w:tcPr>
            <w:tcW w:w="168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100 га</w:t>
            </w:r>
          </w:p>
        </w:tc>
        <w:tc>
          <w:tcPr>
            <w:tcW w:w="235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r w:rsidRPr="00201A0D">
              <w:rPr>
                <w:rFonts w:ascii="Times New Roman" w:hAnsi="Times New Roman" w:cs="Times New Roman"/>
                <w:sz w:val="20"/>
                <w:szCs w:val="20"/>
              </w:rPr>
              <w:br/>
              <w:t>с.Едрово, 364-й км трассы Москва – Санкт-Петербург</w:t>
            </w:r>
          </w:p>
        </w:tc>
        <w:tc>
          <w:tcPr>
            <w:tcW w:w="1818"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 соответствии </w:t>
            </w:r>
            <w:r w:rsidRPr="00201A0D">
              <w:rPr>
                <w:rFonts w:ascii="Times New Roman" w:hAnsi="Times New Roman" w:cs="Times New Roman"/>
                <w:sz w:val="20"/>
                <w:szCs w:val="20"/>
              </w:rPr>
              <w:br/>
              <w:t>с СанПиН 2.2.1/2.1.1.1200-03</w:t>
            </w:r>
          </w:p>
        </w:tc>
      </w:tr>
      <w:tr w:rsidR="00201A0D" w:rsidRPr="00201A0D" w:rsidTr="00201A0D">
        <w:tc>
          <w:tcPr>
            <w:tcW w:w="63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7.7.</w:t>
            </w:r>
          </w:p>
        </w:tc>
        <w:tc>
          <w:tcPr>
            <w:tcW w:w="1604" w:type="dxa"/>
            <w:gridSpan w:val="2"/>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Инвестиционная площадка</w:t>
            </w:r>
          </w:p>
        </w:tc>
        <w:tc>
          <w:tcPr>
            <w:tcW w:w="232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«Едрово-4» (для любых целей)</w:t>
            </w:r>
          </w:p>
        </w:tc>
        <w:tc>
          <w:tcPr>
            <w:tcW w:w="1689"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площадь 40 га</w:t>
            </w:r>
          </w:p>
        </w:tc>
        <w:tc>
          <w:tcPr>
            <w:tcW w:w="2350"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Валдайский район, </w:t>
            </w:r>
            <w:r w:rsidRPr="00201A0D">
              <w:rPr>
                <w:rFonts w:ascii="Times New Roman" w:hAnsi="Times New Roman" w:cs="Times New Roman"/>
                <w:sz w:val="20"/>
                <w:szCs w:val="20"/>
              </w:rPr>
              <w:br/>
              <w:t>с.Едрово</w:t>
            </w:r>
          </w:p>
        </w:tc>
        <w:tc>
          <w:tcPr>
            <w:tcW w:w="1818" w:type="dxa"/>
            <w:shd w:val="clear" w:color="auto" w:fill="auto"/>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СЗЗ – 1 км</w:t>
            </w:r>
          </w:p>
        </w:tc>
      </w:tr>
    </w:tbl>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bookmarkStart w:id="46" w:name="_Toc347315732"/>
      <w:bookmarkStart w:id="47" w:name="_Toc363654780"/>
      <w:bookmarkStart w:id="48" w:name="_Toc433382427"/>
      <w:r w:rsidRPr="00201A0D">
        <w:rPr>
          <w:rFonts w:ascii="Times New Roman" w:hAnsi="Times New Roman" w:cs="Times New Roman"/>
          <w:sz w:val="20"/>
          <w:szCs w:val="20"/>
        </w:rPr>
        <w:t>4.2. Перечень объектов местного значения, планируемых для размещения на территориях муниципального образования в рамках проекта генерального плана с учетом требований региональных нормативов градостроительного проектирования</w:t>
      </w:r>
      <w:bookmarkEnd w:id="46"/>
      <w:bookmarkEnd w:id="47"/>
      <w:r w:rsidRPr="00201A0D">
        <w:rPr>
          <w:rFonts w:ascii="Times New Roman" w:hAnsi="Times New Roman" w:cs="Times New Roman"/>
          <w:sz w:val="20"/>
          <w:szCs w:val="20"/>
        </w:rPr>
        <w:t>.</w:t>
      </w:r>
      <w:bookmarkEnd w:id="48"/>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Объемы нового строительства объектов социально-бытового назначения при принятии проектных решений определялись нормативной потребностью и необходимостью обеспечения доступности объектов для населения.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Настоящими изменениями генплана предусматривается строительство новых объектов местного значения (с учетом требований региональных нормативов градостроительного проектирования):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проектируемые артезианские скважины;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проектируемые резервуары чистой воды;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проектируемые противопожарные резервуары;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строительство единой централизованной системы хозяйственно - бытовой канализации с очистными сооружениями с полной биологической очисткой (БОС);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строительство межпоселковых сетей природного газа;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В д. Большое Носакино: административно-офисный объект, детское дошкольное и общеобразовательное учреждения, военно-учебное заведение (кадетский корпус), культурно-развлекательный центр, объект здравоохранения, аптека, отделение банка, гостиница, база отдыха, спортивное сооружение (закрытое), плоскостное спортивное сооружение, объе</w:t>
      </w:r>
      <w:r>
        <w:rPr>
          <w:rFonts w:ascii="Times New Roman" w:hAnsi="Times New Roman" w:cs="Times New Roman"/>
          <w:sz w:val="20"/>
          <w:szCs w:val="20"/>
        </w:rPr>
        <w:t>к</w:t>
      </w:r>
      <w:r w:rsidRPr="00201A0D">
        <w:rPr>
          <w:rFonts w:ascii="Times New Roman" w:hAnsi="Times New Roman" w:cs="Times New Roman"/>
          <w:sz w:val="20"/>
          <w:szCs w:val="20"/>
        </w:rPr>
        <w:t>т торговли, объект общественного питания.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Анютино: плоскостное спортивное сооружение, 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Гвоздки: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Добывалово: 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Красилово: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Марково: плоскостное спортивное сооружение, сельскохозяйственное предприятие, отделение банка.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Наволок: плоскостное спортивное сооружение, 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Новая Ситенка: спортивное сооружение, база отдыха, придорожный комплекс с АЗС, хозкомплекс.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Селище: 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Старая Ситенка: общественная баня.</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Старина: плоскостное спортивное сооружение, 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Старово: плоскостное спортивное сооружение, сельскохозяйственное предприятие.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Харитониха: 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д. Труфаново: плоскостное спортивное сооружение.</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 Едрово: производственное предприятие (деревообработка), производство по разработке и добыче песчано-гравийного материала,  тепличное хозяйство, придорожный комплекс, пожарное депо на 2 автомашины, опорный пункт охраны порядка, отделение банка.</w:t>
      </w:r>
    </w:p>
    <w:p w:rsidR="00201A0D" w:rsidRPr="00201A0D" w:rsidRDefault="00201A0D" w:rsidP="00201A0D">
      <w:pPr>
        <w:spacing w:after="0"/>
        <w:jc w:val="both"/>
        <w:rPr>
          <w:rFonts w:ascii="Times New Roman" w:hAnsi="Times New Roman" w:cs="Times New Roman"/>
          <w:sz w:val="20"/>
          <w:szCs w:val="20"/>
        </w:rPr>
      </w:pPr>
      <w:bookmarkStart w:id="49" w:name="_Toc363654781"/>
      <w:bookmarkStart w:id="50" w:name="_Toc433382428"/>
      <w:r w:rsidRPr="00201A0D">
        <w:rPr>
          <w:rFonts w:ascii="Times New Roman" w:hAnsi="Times New Roman" w:cs="Times New Roman"/>
          <w:sz w:val="20"/>
          <w:szCs w:val="20"/>
        </w:rPr>
        <w:t>4.3. Характеристики зон с особыми условиями использования территорий</w:t>
      </w:r>
      <w:bookmarkEnd w:id="49"/>
      <w:bookmarkEnd w:id="50"/>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4.3.1. </w:t>
      </w:r>
    </w:p>
    <w:p w:rsidR="00201A0D" w:rsidRPr="003C0C73" w:rsidRDefault="00201A0D" w:rsidP="00201A0D">
      <w:pPr>
        <w:rPr>
          <w:rFonts w:ascii="Times New Roman" w:hAnsi="Times New Roman" w:cs="Times New Roman"/>
        </w:rPr>
      </w:pPr>
      <w:r w:rsidRPr="003C0C73">
        <w:rPr>
          <w:rFonts w:ascii="Times New Roman" w:hAnsi="Times New Roman" w:cs="Times New Roman"/>
        </w:rPr>
        <w:t>Таблица 4.3.1.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8"/>
        <w:gridCol w:w="2258"/>
        <w:gridCol w:w="2215"/>
        <w:gridCol w:w="2440"/>
      </w:tblGrid>
      <w:tr w:rsidR="00201A0D" w:rsidRPr="00201A0D" w:rsidTr="00201A0D">
        <w:trPr>
          <w:cantSplit/>
          <w:trHeight w:val="387"/>
          <w:tblHeader/>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Наименование объекта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с особыми условиями</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Параметры зоны, м</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Функциональная зона</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Канализационные очистные сооружения</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Кладбище</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специального назначения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ГРС</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Лесопереработка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Пилорама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Добыча песка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Добыча песчано-гравийного материала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2.2.1/2.1.1.1200-03,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Овощехранилище</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АЗС</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зона инженерно-транспортной инфраструктуры </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Планируемая вертолетная площадка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Деревообработка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Комплекс автосервиса</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зона инженерно-транспортной инфраструктуры </w:t>
            </w:r>
          </w:p>
        </w:tc>
      </w:tr>
      <w:tr w:rsidR="00201A0D" w:rsidRPr="00201A0D" w:rsidTr="00201A0D">
        <w:trPr>
          <w:cantSplit/>
          <w:trHeight w:val="391"/>
        </w:trPr>
        <w:tc>
          <w:tcPr>
            <w:tcW w:w="2896"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Сельскохозяйственное предприятие</w:t>
            </w:r>
          </w:p>
        </w:tc>
        <w:tc>
          <w:tcPr>
            <w:tcW w:w="24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Санитарно-защитная зона</w:t>
            </w:r>
          </w:p>
        </w:tc>
        <w:tc>
          <w:tcPr>
            <w:tcW w:w="2410"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СанПиН 2.2.1/2.1.1.1200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657"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r>
    </w:tbl>
    <w:p w:rsidR="00201A0D" w:rsidRPr="00201A0D" w:rsidRDefault="00201A0D" w:rsidP="00201A0D">
      <w:pPr>
        <w:spacing w:after="0"/>
        <w:jc w:val="both"/>
        <w:rPr>
          <w:rFonts w:ascii="Times New Roman" w:hAnsi="Times New Roman" w:cs="Times New Roman"/>
          <w:sz w:val="20"/>
          <w:szCs w:val="20"/>
        </w:rPr>
      </w:pPr>
      <w:bookmarkStart w:id="51" w:name="_Toc433382429"/>
      <w:bookmarkStart w:id="52" w:name="_Toc298405400"/>
      <w:bookmarkStart w:id="53" w:name="_Toc315963944"/>
      <w:bookmarkStart w:id="54" w:name="_Toc343505726"/>
      <w:r w:rsidRPr="00201A0D">
        <w:rPr>
          <w:rFonts w:ascii="Times New Roman" w:hAnsi="Times New Roman" w:cs="Times New Roman"/>
          <w:sz w:val="20"/>
          <w:szCs w:val="20"/>
        </w:rPr>
        <w:t>5. Развитие планировочной структуры некоторых населенных пунктов Едровского сельского поселения.</w:t>
      </w:r>
      <w:bookmarkEnd w:id="51"/>
    </w:p>
    <w:p w:rsidR="00201A0D" w:rsidRPr="00201A0D" w:rsidRDefault="00201A0D" w:rsidP="00201A0D">
      <w:pPr>
        <w:spacing w:after="0"/>
        <w:jc w:val="both"/>
        <w:rPr>
          <w:rFonts w:ascii="Times New Roman" w:hAnsi="Times New Roman" w:cs="Times New Roman"/>
          <w:sz w:val="20"/>
          <w:szCs w:val="20"/>
        </w:rPr>
      </w:pPr>
      <w:bookmarkStart w:id="55" w:name="_Toc433382430"/>
      <w:r w:rsidRPr="00201A0D">
        <w:rPr>
          <w:rFonts w:ascii="Times New Roman" w:hAnsi="Times New Roman" w:cs="Times New Roman"/>
          <w:sz w:val="20"/>
          <w:szCs w:val="20"/>
        </w:rPr>
        <w:t>5.1. Развитие планировочной структуры населенного пункта с. Едрово.</w:t>
      </w:r>
      <w:bookmarkEnd w:id="55"/>
    </w:p>
    <w:bookmarkEnd w:id="52"/>
    <w:bookmarkEnd w:id="53"/>
    <w:bookmarkEnd w:id="54"/>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состав Едровского сельского поселения входит 26 населенных пунктов.</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Границы данного населенного пункта были установлены в генеральном плане Едровского сельского поселения 2010 года.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Изменениями в генеральный план предусматривает интенсивное развитие села Едрово. Развитие территории населенного пункта предлагается вести в основном на свободных от застройки территориях.</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развития села Едрово на расчетный срок представлена на рис.5.1.1.</w:t>
      </w:r>
    </w:p>
    <w:p w:rsidR="00201A0D" w:rsidRPr="00201A0D" w:rsidRDefault="00201A0D" w:rsidP="00201A0D">
      <w:r>
        <w:rPr>
          <w:noProof/>
        </w:rPr>
        <w:lastRenderedPageBreak/>
        <w:drawing>
          <wp:inline distT="0" distB="0" distL="0" distR="0">
            <wp:extent cx="5928995" cy="584263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l="20508" t="4831" r="15450" b="16174"/>
                    <a:stretch>
                      <a:fillRect/>
                    </a:stretch>
                  </pic:blipFill>
                  <pic:spPr bwMode="auto">
                    <a:xfrm>
                      <a:off x="0" y="0"/>
                      <a:ext cx="5928995" cy="5842635"/>
                    </a:xfrm>
                    <a:prstGeom prst="rect">
                      <a:avLst/>
                    </a:prstGeom>
                    <a:noFill/>
                    <a:ln w="9525">
                      <a:noFill/>
                      <a:miter lim="800000"/>
                      <a:headEnd/>
                      <a:tailEnd/>
                    </a:ln>
                  </pic:spPr>
                </pic:pic>
              </a:graphicData>
            </a:graphic>
          </wp:inline>
        </w:drawing>
      </w:r>
    </w:p>
    <w:p w:rsidR="00201A0D" w:rsidRPr="00201A0D" w:rsidRDefault="00201A0D" w:rsidP="00201A0D"/>
    <w:p w:rsidR="00201A0D" w:rsidRPr="00201A0D" w:rsidRDefault="00201A0D" w:rsidP="00201A0D"/>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Рис. 5.1.1. Схема развития села  Едрово на расчетный срок.</w:t>
      </w: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размещения индивидуальной жилой застройки предложено использование 6 кварталов ИЖС (1-6), которые располагаются в центральной части населенного пункта.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вести застройку малоэтажными зданиями в капитальном исполнении с полным благоустройством. Предусматривается на планируемых территориях выделение жителям для жилищного строительства земельных участков  площадью до 0,15 га. Плотность застройки составит  900-1000 м2/га.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Норматив жилищной обеспеченности на расчетный срок принят равным  48 м2/чел. (схема терпланирования Новгородской области). Коэффициент семейственности принят  – 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Общая площадь территорий, отводимых под новую индивидуальную жилую застройку составит 12,8 га.  Предусматривается построить на этой территории около 12,288 тысяч м2 общей площади жилых помещений, в которых будет проживать 256 человек.</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Настоящими изменениями предусматриваются территории для общественно-деловой застройки, для коммунально-складского  и производственного использования, а также для создания инженерной и транспортной инфраструктуры: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под общественно-деловую застройку  квартал ОД – 7 предполагается использовать под торговые объекты, опорный пункт охраны порядка, отделение банка и др.;</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 зону коммунально-складского использования (П1) – квартал 8 (для размещения пожарного депо на 2 машины);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 зону производственного использования (П2) – квартал 9 (для размещения производственного предприятия (деревообработка и др.);</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 зону инженерной и транспортной инфраструктуры (ИТР) – квартал 10 (для размещения придорожного комплекса) и квартал  11 (для размещения вертолетной площадки).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Назначения территории кварталов, их площадь представлены в таблице 5.1.1.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5.1.1.</w:t>
      </w:r>
    </w:p>
    <w:tbl>
      <w:tblPr>
        <w:tblW w:w="5000" w:type="pct"/>
        <w:tblLayout w:type="fixed"/>
        <w:tblLook w:val="0000"/>
      </w:tblPr>
      <w:tblGrid>
        <w:gridCol w:w="2046"/>
        <w:gridCol w:w="1306"/>
        <w:gridCol w:w="1178"/>
        <w:gridCol w:w="1178"/>
        <w:gridCol w:w="2076"/>
        <w:gridCol w:w="1787"/>
      </w:tblGrid>
      <w:tr w:rsidR="00201A0D" w:rsidRPr="00201A0D" w:rsidTr="00201A0D">
        <w:trPr>
          <w:trHeight w:hRule="exact" w:val="240"/>
          <w:tblHeader/>
        </w:trPr>
        <w:tc>
          <w:tcPr>
            <w:tcW w:w="2235"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Кварталы</w:t>
            </w:r>
          </w:p>
        </w:tc>
        <w:tc>
          <w:tcPr>
            <w:tcW w:w="1417"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Площадь</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кварталов, га</w:t>
            </w:r>
          </w:p>
        </w:tc>
        <w:tc>
          <w:tcPr>
            <w:tcW w:w="1276"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 тыс. чел.</w:t>
            </w:r>
          </w:p>
        </w:tc>
        <w:tc>
          <w:tcPr>
            <w:tcW w:w="1276"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(тыс. м2 общей площади)</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948" w:type="dxa"/>
            <w:vMerge w:val="restart"/>
            <w:tcBorders>
              <w:top w:val="single" w:sz="4" w:space="0" w:color="000000"/>
              <w:left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Площадь ОД помещений, тыс.м2</w:t>
            </w:r>
          </w:p>
        </w:tc>
      </w:tr>
      <w:tr w:rsidR="00201A0D" w:rsidRPr="00201A0D" w:rsidTr="00201A0D">
        <w:trPr>
          <w:tblHeader/>
        </w:trPr>
        <w:tc>
          <w:tcPr>
            <w:tcW w:w="2235"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417"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индивидуальная застройка домами с земельным участком</w:t>
            </w:r>
          </w:p>
        </w:tc>
        <w:tc>
          <w:tcPr>
            <w:tcW w:w="1948" w:type="dxa"/>
            <w:vMerge/>
            <w:tcBorders>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2,496</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2,496</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0,014</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0,672</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0,672</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0,048</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2,304</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2,304</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2,976</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2,976</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12,8</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0,256</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12,288</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12,288</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 ОД</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17,63</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 П1</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 П2</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 ИТР</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 ИТР</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3,83</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ИТР (проезды в ИЖС)</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3,49</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96,69</w:t>
            </w:r>
          </w:p>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0,256</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12,288</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12,288</w:t>
            </w:r>
          </w:p>
        </w:tc>
        <w:tc>
          <w:tcPr>
            <w:tcW w:w="194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северной части населенного пункта располагается планируемая зона застройки индивидуальными жилыми домами (106,89 га), которая предполагается к застройке за расчетным сроком.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Также в северной части населенного пункта планируется размещение тепличного хозяйства.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Расположение планируемых кварталов представлено на рисунках 5.1.2.,  5.1.3. и 5.1.4.</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4754880" cy="2666365"/>
            <wp:effectExtent l="19050" t="0" r="7620" b="0"/>
            <wp:docPr id="2" name="Рисунок 2" descr="c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Едрово"/>
                    <pic:cNvPicPr>
                      <a:picLocks noChangeAspect="1" noChangeArrowheads="1"/>
                    </pic:cNvPicPr>
                  </pic:nvPicPr>
                  <pic:blipFill>
                    <a:blip r:embed="rId67"/>
                    <a:srcRect b="27882"/>
                    <a:stretch>
                      <a:fillRect/>
                    </a:stretch>
                  </pic:blipFill>
                  <pic:spPr bwMode="auto">
                    <a:xfrm>
                      <a:off x="0" y="0"/>
                      <a:ext cx="4754880" cy="2666365"/>
                    </a:xfrm>
                    <a:prstGeom prst="rect">
                      <a:avLst/>
                    </a:prstGeom>
                    <a:noFill/>
                    <a:ln w="9525">
                      <a:noFill/>
                      <a:miter lim="800000"/>
                      <a:headEnd/>
                      <a:tailEnd/>
                    </a:ln>
                  </pic:spPr>
                </pic:pic>
              </a:graphicData>
            </a:graphic>
          </wp:inline>
        </w:drawing>
      </w: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Рис. 5.1.2. Расположение планируемых кварталов ИЖС в 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6477635" cy="3272790"/>
            <wp:effectExtent l="19050" t="0" r="0" b="0"/>
            <wp:docPr id="15" name="Рисунок 15" descr="c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_Едрово"/>
                    <pic:cNvPicPr>
                      <a:picLocks noChangeAspect="1" noChangeArrowheads="1"/>
                    </pic:cNvPicPr>
                  </pic:nvPicPr>
                  <pic:blipFill>
                    <a:blip r:embed="rId68"/>
                    <a:srcRect b="28700"/>
                    <a:stretch>
                      <a:fillRect/>
                    </a:stretch>
                  </pic:blipFill>
                  <pic:spPr bwMode="auto">
                    <a:xfrm>
                      <a:off x="0" y="0"/>
                      <a:ext cx="6477635" cy="3272790"/>
                    </a:xfrm>
                    <a:prstGeom prst="rect">
                      <a:avLst/>
                    </a:prstGeom>
                    <a:noFill/>
                    <a:ln w="9525">
                      <a:noFill/>
                      <a:miter lim="800000"/>
                      <a:headEnd/>
                      <a:tailEnd/>
                    </a:ln>
                  </pic:spPr>
                </pic:pic>
              </a:graphicData>
            </a:graphic>
          </wp:inline>
        </w:drawing>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Рис. 5.1.3. Расположение планируемых кварталов в 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Определения приоритетов развития территорий поселения – одна из наиболее важных и сложных задач территориального планирования.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 основе комплексного анализа развития территорий поселения и учета существующих предпосылок пространственного развития в утвержденном генеральном плане были предложены следующие приоритеты в развитии отдельных территорий (на расчетный срок и перспективу).</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Освоение свободных площадок под размещение жилых территорий;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Упорядочение производственных зон поселения - проведение мероприятий по снижению негативного воздействия от производственных объектов;</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Организация коммунальных зон:- отведение выделенных территорий под размещение коммунально-складской зоны;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Усовершенствование дорожно-транспортного комплекса: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планомерное увеличение протяженности автодорог с твердым покрытием, совершенствование системы магистралей;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системы общественного транспорта: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Формирование сети обслуживания населения в соответствии со ступенчатой моделью обслуживания.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Развитие инженерной инфраструктуры и инженерной подготовки территории сельского поселения: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Реконструкция существующих сетей с заменой изношенных участков сетей водоснабжения и электроснабжения;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Строительство сетей канализации;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Организация систем нормативного водоотвода с осваиваемых площадок.</w:t>
      </w:r>
    </w:p>
    <w:p w:rsidR="00201A0D" w:rsidRPr="00201A0D" w:rsidRDefault="00201A0D" w:rsidP="00201A0D">
      <w:pPr>
        <w:spacing w:after="0"/>
        <w:rPr>
          <w:rFonts w:ascii="Times New Roman" w:hAnsi="Times New Roman" w:cs="Times New Roman"/>
          <w:sz w:val="20"/>
          <w:szCs w:val="20"/>
        </w:rPr>
      </w:pPr>
      <w:bookmarkStart w:id="56" w:name="_Toc433382431"/>
      <w:r w:rsidRPr="00201A0D">
        <w:rPr>
          <w:rFonts w:ascii="Times New Roman" w:hAnsi="Times New Roman" w:cs="Times New Roman"/>
          <w:sz w:val="20"/>
          <w:szCs w:val="20"/>
        </w:rPr>
        <w:t>5.2. Развитие планировочной структуры населенного пункта д. Большое Носакино.</w:t>
      </w:r>
      <w:bookmarkEnd w:id="56"/>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Современное состояние территории д. Большое Носакино приведено на рисунке 5.2.1. населенный пункт расположен в 7 км от административного центра поселения с.Едрово, расположенного на автотрассе М-10 и на линии Бологое-Московская-Валдай-Старая Русса-Дно- Октябрьской железной дороги. Уникальные природные условия на территории  деревни (вокруг деревни расположены озера Стреглино, Воронец, Залужье, Рожневец) при удовлетворительном транспортном сообщении с административным центром поселения, района и области, а также наличие прямого выхода на Москву, Санкт-Петербург и иные крупные города Северо-Запада и центра России определили данный населенный пункт в качестве  инвестиционной площадкой Едровского сельского поселения.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Изменения генерального плана предусматривают интенсивное развитие д. Большое Носакино. Развитие территории деревни предлагается вести в основном на свободных от застройки территориях. Необходимо отметить, что в настоящее время на территории деревни имеется 13 домов обей площадью около 500 м2, </w:t>
      </w:r>
      <w:r w:rsidRPr="00201A0D">
        <w:rPr>
          <w:rFonts w:ascii="Times New Roman" w:hAnsi="Times New Roman" w:cs="Times New Roman"/>
          <w:sz w:val="20"/>
          <w:szCs w:val="20"/>
        </w:rPr>
        <w:lastRenderedPageBreak/>
        <w:t>которые используются в весеннее-осенний период отдыхающими (дачниками). Современное состояние территории населенного пункта д. Большое Носакино показано на рис. 5.2.1.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 планировании развития населенного пункта предусматривается, что застройка жилой зоны будет осуществляться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 блокированными жилыми домами (таунхаус), таунхаусами-дуплексами (на 2 семьи в каждом блоке).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вести застройку малоэтажными зданиями в капитальном исполнении с полным благоустройством.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Коэффициент семейственности принят равным – 3, норматив жилищной обеспеченности на расчетный срок – 48 м2/чел. (согласно Схемы терпланирования Новгородской области).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Изменениями в генеральный план на расчетный срок предполагается,  что в данном населенном пункте будет проживать 1867 человек (без учета учащихся планируемого для размещения в деревне начального  военно-учебного заведения  (кадетский корпус) на 300 учащихся. Планируемая структура деревни Большое Носакино показана на рис. 5.2.2.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Общая площадь территорий, отводимых под индивидуальную жилую застройку составит 52,2 га. Предусматривается построить на этой территории застройки около 89,6 тысяч м2 общей площади жилых помещений.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noProof/>
          <w:sz w:val="20"/>
          <w:szCs w:val="20"/>
        </w:rPr>
        <w:drawing>
          <wp:inline distT="0" distB="0" distL="0" distR="0">
            <wp:extent cx="4678045" cy="3696335"/>
            <wp:effectExtent l="19050" t="19050" r="27305" b="18415"/>
            <wp:docPr id="16" name="Рисунок 16" descr="Карта_сущ_объектов_местн_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а_сущ_объектов_местн_знач"/>
                    <pic:cNvPicPr>
                      <a:picLocks noChangeAspect="1" noChangeArrowheads="1"/>
                    </pic:cNvPicPr>
                  </pic:nvPicPr>
                  <pic:blipFill>
                    <a:blip r:embed="rId69"/>
                    <a:srcRect/>
                    <a:stretch>
                      <a:fillRect/>
                    </a:stretch>
                  </pic:blipFill>
                  <pic:spPr bwMode="auto">
                    <a:xfrm>
                      <a:off x="0" y="0"/>
                      <a:ext cx="4678045" cy="3696335"/>
                    </a:xfrm>
                    <a:prstGeom prst="rect">
                      <a:avLst/>
                    </a:prstGeom>
                    <a:noFill/>
                    <a:ln w="6350" cmpd="sng">
                      <a:solidFill>
                        <a:srgbClr val="000000"/>
                      </a:solidFill>
                      <a:miter lim="800000"/>
                      <a:headEnd/>
                      <a:tailEnd/>
                    </a:ln>
                    <a:effectLst/>
                  </pic:spPr>
                </pic:pic>
              </a:graphicData>
            </a:graphic>
          </wp:inline>
        </w:drawing>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Рис. 5.2.1. Современное состояние территории населенного пункта д. Большое Носакино.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noProof/>
          <w:sz w:val="20"/>
          <w:szCs w:val="20"/>
        </w:rPr>
        <w:lastRenderedPageBreak/>
        <w:drawing>
          <wp:inline distT="0" distB="0" distL="0" distR="0">
            <wp:extent cx="6286027" cy="3602891"/>
            <wp:effectExtent l="19050" t="0" r="473" b="0"/>
            <wp:docPr id="17" name="Рисунок 17" descr="Большое_Носакино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льшое_Носакино_"/>
                    <pic:cNvPicPr>
                      <a:picLocks noChangeAspect="1" noChangeArrowheads="1"/>
                    </pic:cNvPicPr>
                  </pic:nvPicPr>
                  <pic:blipFill>
                    <a:blip r:embed="rId70"/>
                    <a:srcRect/>
                    <a:stretch>
                      <a:fillRect/>
                    </a:stretch>
                  </pic:blipFill>
                  <pic:spPr bwMode="auto">
                    <a:xfrm>
                      <a:off x="0" y="0"/>
                      <a:ext cx="6287107" cy="3603510"/>
                    </a:xfrm>
                    <a:prstGeom prst="rect">
                      <a:avLst/>
                    </a:prstGeom>
                    <a:noFill/>
                    <a:ln w="9525">
                      <a:noFill/>
                      <a:miter lim="800000"/>
                      <a:headEnd/>
                      <a:tailEnd/>
                    </a:ln>
                  </pic:spPr>
                </pic:pic>
              </a:graphicData>
            </a:graphic>
          </wp:inline>
        </w:drawing>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Рис. 5.2.2. Расположение планируемых кварталов в д. Большое Носакино.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Существующая в настоящее время застройка представлены индивидуальными домами, расположенными в кварталах  62, 65 и 85. Остальная территория населенного пункта практически свободна от застройки.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 застройке планируются вся свободная от застройки территория.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Размещение начального военно-учебного заведения (кадетский корпус) планируется в юго-западной части населенного пункта (квартал 2).  Здесь же планируется размещение охотничьей базы отдыха (квартал 13).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северо-западной части предусматривается разместить спортивно-оздоровительный центр (центр боевых искусств) (квартал 78) и гостиницы (квартал 79). Между центром боевых искусств и жилыми зонами предусмотрен лесопарк (квартал 80).</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Размещение основных объектов культурно-бытового назначения предусматривается в северо-восточной и восточной частях населенного пункта: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объекты здравоохранения (квартал 21);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детские дошкольные и общеобразовательные учреждения (квартал 47);</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концертно-выставочный центр (квартал 57);</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гостиница (квартал 58);</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торгово-развлекательный центр (квартал 72);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административно-офисный центр (56, 73,75);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объекты общественного питания (кафе, ресторан) (квартал 74);</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объекты торговли (квартал 45);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открытые спортивные сооружения (квартал 89);</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автостанция (квартал 91).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северо-восточной части деревни планируется разместить и лодочную станцию (квартал 76).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этих же частях населенного пункта запланированы зоны рекреации: лесопарк между учреждениями здравоохранения и жилыми зонами и озером Залужье (кварталы 20 и 40); парки, скверы, детские площадки (кварталы 38, 46, 66, 69, 70, 77, 90).</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рекреации предусмотрена и в центральной части деревни (квартал 44).</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центральной части деревни планируется размещение кафе (квартал 31).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Остальная территория населенного пункта будет застраиваться жилыми домами – индивидуальными жилыми домами (кварталы   1, 3, 5, 6, 7, 8, 9, 10, 11, 12, 14, 15, 16, 17, 18, 19, 22, 23, 25, 30, 39, 41, 42, 48, 49, 50, 51, 52, 53, 54, 59, 60, 61, 63, 64, 81, 82, 83, 84, 86, 87, 88) и жилыми домами  блокированной застройки (таунхаусы) (кварталы 26, 27, 28, 29, 32, 33, 34, 35, 36, 37).</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Назначения территории кварталов жилой застройки, их площадь представлены в таблице 5.2.1, кварталов общественно-деловой застройки, объектов рекреационного назначения, туризма и  отдыха, а также инженерной инфраструктуры в табл. 5.2.2.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5.2.1.</w:t>
      </w:r>
    </w:p>
    <w:tbl>
      <w:tblPr>
        <w:tblW w:w="5000" w:type="pct"/>
        <w:tblLayout w:type="fixed"/>
        <w:tblLook w:val="0000"/>
      </w:tblPr>
      <w:tblGrid>
        <w:gridCol w:w="2524"/>
        <w:gridCol w:w="1601"/>
        <w:gridCol w:w="1442"/>
        <w:gridCol w:w="1442"/>
        <w:gridCol w:w="2562"/>
      </w:tblGrid>
      <w:tr w:rsidR="00201A0D" w:rsidRPr="00201A0D" w:rsidTr="00201A0D">
        <w:trPr>
          <w:trHeight w:hRule="exact" w:val="240"/>
          <w:tblHeader/>
        </w:trPr>
        <w:tc>
          <w:tcPr>
            <w:tcW w:w="2235"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Кварталы</w:t>
            </w:r>
          </w:p>
        </w:tc>
        <w:tc>
          <w:tcPr>
            <w:tcW w:w="1417"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Площадь</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кварталов, га</w:t>
            </w:r>
          </w:p>
        </w:tc>
        <w:tc>
          <w:tcPr>
            <w:tcW w:w="1276"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 тыс. чел.</w:t>
            </w:r>
          </w:p>
        </w:tc>
        <w:tc>
          <w:tcPr>
            <w:tcW w:w="1276" w:type="dxa"/>
            <w:vMerge w:val="restart"/>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(тыс. м2 общей площади)</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том числе:</w:t>
            </w:r>
          </w:p>
        </w:tc>
      </w:tr>
      <w:tr w:rsidR="00201A0D" w:rsidRPr="00201A0D" w:rsidTr="00201A0D">
        <w:trPr>
          <w:tblHeader/>
        </w:trPr>
        <w:tc>
          <w:tcPr>
            <w:tcW w:w="2235"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417"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highlight w:val="yellow"/>
              </w:rPr>
            </w:pPr>
            <w:r w:rsidRPr="00201A0D">
              <w:rPr>
                <w:rFonts w:ascii="Times New Roman" w:hAnsi="Times New Roman" w:cs="Times New Roman"/>
                <w:sz w:val="20"/>
                <w:szCs w:val="20"/>
              </w:rPr>
              <w:t>индивидуальная застройка домами с земельным участком</w:t>
            </w:r>
          </w:p>
        </w:tc>
      </w:tr>
      <w:tr w:rsidR="00201A0D" w:rsidRPr="00201A0D" w:rsidTr="00201A0D">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Существующая застройка</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Планируемая застройка</w:t>
            </w:r>
          </w:p>
        </w:tc>
      </w:tr>
      <w:tr w:rsidR="00201A0D" w:rsidRPr="00201A0D" w:rsidTr="00201A0D">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ИЖС</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1 </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0,62</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5 </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1488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1488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7 </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8 </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5184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5184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2736</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2736</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3,49</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4992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4992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5616</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5616</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3024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3024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1296</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1296</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2160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2160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81</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0,76</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1152</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82</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6,09</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183</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8784</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8784</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84</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4,54</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6480</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6480</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1008</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0,88</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1296</w:t>
            </w:r>
          </w:p>
        </w:tc>
        <w:tc>
          <w:tcPr>
            <w:tcW w:w="2268" w:type="dxa"/>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1296</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 ИЖС</w:t>
            </w:r>
          </w:p>
        </w:tc>
        <w:tc>
          <w:tcPr>
            <w:tcW w:w="1417" w:type="dxa"/>
            <w:tcBorders>
              <w:top w:val="single" w:sz="4" w:space="0" w:color="000000"/>
              <w:left w:val="single" w:sz="4" w:space="0" w:color="000000"/>
              <w:bottom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49,015</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1467</w:t>
            </w:r>
          </w:p>
        </w:tc>
        <w:tc>
          <w:tcPr>
            <w:tcW w:w="1276" w:type="dxa"/>
            <w:tcBorders>
              <w:top w:val="single" w:sz="4" w:space="0" w:color="000000"/>
              <w:left w:val="single" w:sz="4" w:space="0" w:color="000000"/>
              <w:bottom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70416</w:t>
            </w:r>
          </w:p>
        </w:tc>
        <w:tc>
          <w:tcPr>
            <w:tcW w:w="2268" w:type="dxa"/>
            <w:tcBorders>
              <w:top w:val="single" w:sz="4" w:space="0" w:color="000000"/>
              <w:left w:val="single" w:sz="4" w:space="0" w:color="000000"/>
              <w:bottom w:val="single" w:sz="4" w:space="0" w:color="000000"/>
              <w:right w:val="single" w:sz="4" w:space="0" w:color="000000"/>
            </w:tcBorders>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70416</w:t>
            </w:r>
          </w:p>
        </w:tc>
      </w:tr>
      <w:tr w:rsidR="00201A0D" w:rsidRPr="00201A0D" w:rsidTr="00201A0D">
        <w:trPr>
          <w:trHeight w:val="284"/>
        </w:trPr>
        <w:tc>
          <w:tcPr>
            <w:tcW w:w="8472" w:type="dxa"/>
            <w:gridSpan w:val="5"/>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Жилые дома блокированной застройки (таунхаусы)</w:t>
            </w: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32Б</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 (таунхаусы)</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400</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19200</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284"/>
        </w:trPr>
        <w:tc>
          <w:tcPr>
            <w:tcW w:w="223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1417"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52,185</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127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89616</w:t>
            </w:r>
          </w:p>
        </w:tc>
        <w:tc>
          <w:tcPr>
            <w:tcW w:w="226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5.2.2.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0"/>
        <w:gridCol w:w="3428"/>
        <w:gridCol w:w="1781"/>
        <w:gridCol w:w="1606"/>
        <w:gridCol w:w="1606"/>
      </w:tblGrid>
      <w:tr w:rsidR="00201A0D" w:rsidRPr="00201A0D" w:rsidTr="00201A0D">
        <w:trPr>
          <w:trHeight w:val="264"/>
          <w:tblHeader/>
        </w:trPr>
        <w:tc>
          <w:tcPr>
            <w:tcW w:w="12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Кварталы</w:t>
            </w:r>
          </w:p>
        </w:tc>
        <w:tc>
          <w:tcPr>
            <w:tcW w:w="3751"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Назначение</w:t>
            </w:r>
          </w:p>
        </w:tc>
        <w:tc>
          <w:tcPr>
            <w:tcW w:w="1937"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Площадь</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кварталов, га</w:t>
            </w:r>
          </w:p>
        </w:tc>
        <w:tc>
          <w:tcPr>
            <w:tcW w:w="1745"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 измерен</w:t>
            </w:r>
            <w:r w:rsidR="003C0C73">
              <w:rPr>
                <w:rFonts w:ascii="Times New Roman" w:hAnsi="Times New Roman" w:cs="Times New Roman"/>
                <w:sz w:val="20"/>
                <w:szCs w:val="20"/>
              </w:rPr>
              <w:t>и</w:t>
            </w:r>
            <w:r w:rsidRPr="00201A0D">
              <w:rPr>
                <w:rFonts w:ascii="Times New Roman" w:hAnsi="Times New Roman" w:cs="Times New Roman"/>
                <w:sz w:val="20"/>
                <w:szCs w:val="20"/>
              </w:rPr>
              <w:t>я</w:t>
            </w:r>
          </w:p>
        </w:tc>
        <w:tc>
          <w:tcPr>
            <w:tcW w:w="1745"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Показатели</w:t>
            </w:r>
          </w:p>
        </w:tc>
      </w:tr>
      <w:tr w:rsidR="00201A0D" w:rsidRPr="00201A0D" w:rsidTr="00201A0D">
        <w:trPr>
          <w:trHeight w:val="509"/>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Merge/>
          </w:tcPr>
          <w:p w:rsidR="00201A0D" w:rsidRPr="00201A0D" w:rsidRDefault="00201A0D" w:rsidP="00201A0D">
            <w:pPr>
              <w:spacing w:after="0"/>
              <w:rPr>
                <w:rFonts w:ascii="Times New Roman" w:hAnsi="Times New Roman" w:cs="Times New Roman"/>
                <w:sz w:val="20"/>
                <w:szCs w:val="20"/>
              </w:rPr>
            </w:pP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Merge/>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0420" w:type="dxa"/>
            <w:gridSpan w:val="5"/>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общественно-делового назначения</w:t>
            </w:r>
          </w:p>
        </w:tc>
      </w:tr>
      <w:tr w:rsidR="00201A0D" w:rsidRPr="00201A0D" w:rsidTr="00201A0D">
        <w:trPr>
          <w:tblHeader/>
        </w:trPr>
        <w:tc>
          <w:tcPr>
            <w:tcW w:w="1242"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75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Начальное военно-учебное заведение (кадетский корпус)</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2,10</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учащихся</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r>
      <w:tr w:rsidR="00201A0D" w:rsidRPr="00201A0D" w:rsidTr="00201A0D">
        <w:trPr>
          <w:tblHeader/>
        </w:trPr>
        <w:tc>
          <w:tcPr>
            <w:tcW w:w="12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3751"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здравоохранения</w:t>
            </w:r>
          </w:p>
        </w:tc>
        <w:tc>
          <w:tcPr>
            <w:tcW w:w="1937" w:type="dxa"/>
            <w:vMerge w:val="restart"/>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койко-мест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w:t>
            </w: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Merge/>
            <w:vAlign w:val="center"/>
          </w:tcPr>
          <w:p w:rsidR="00201A0D" w:rsidRPr="00201A0D" w:rsidRDefault="00201A0D" w:rsidP="00201A0D">
            <w:pPr>
              <w:spacing w:after="0"/>
              <w:rPr>
                <w:rFonts w:ascii="Times New Roman" w:hAnsi="Times New Roman" w:cs="Times New Roman"/>
                <w:sz w:val="20"/>
                <w:szCs w:val="20"/>
              </w:rPr>
            </w:pPr>
          </w:p>
        </w:tc>
        <w:tc>
          <w:tcPr>
            <w:tcW w:w="1937" w:type="dxa"/>
            <w:vMerge/>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посещений /смену</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торговли (торговая площадь)</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0,98</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м2</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750</w:t>
            </w:r>
          </w:p>
        </w:tc>
      </w:tr>
      <w:tr w:rsidR="00201A0D" w:rsidRPr="00201A0D" w:rsidTr="00201A0D">
        <w:trPr>
          <w:tblHeader/>
        </w:trPr>
        <w:tc>
          <w:tcPr>
            <w:tcW w:w="12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детские дошкольные и общеобразовательные учреждения</w:t>
            </w:r>
          </w:p>
        </w:tc>
        <w:tc>
          <w:tcPr>
            <w:tcW w:w="1937" w:type="dxa"/>
            <w:vMerge w:val="restart"/>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1,41</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детское дошкольное учреждение</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w:t>
            </w: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общеобразовательная школа</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учащихся</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административно-офисных объектов (1 этаж)</w:t>
            </w:r>
          </w:p>
        </w:tc>
        <w:tc>
          <w:tcPr>
            <w:tcW w:w="193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0,49</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концертно-выставочный центр</w:t>
            </w:r>
          </w:p>
        </w:tc>
        <w:tc>
          <w:tcPr>
            <w:tcW w:w="193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3,46</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 (2 этажа)</w:t>
            </w:r>
          </w:p>
        </w:tc>
        <w:tc>
          <w:tcPr>
            <w:tcW w:w="193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0,53</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w:t>
            </w:r>
          </w:p>
        </w:tc>
      </w:tr>
      <w:tr w:rsidR="00201A0D" w:rsidRPr="00201A0D" w:rsidTr="00201A0D">
        <w:trPr>
          <w:tblHeader/>
        </w:trPr>
        <w:tc>
          <w:tcPr>
            <w:tcW w:w="12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торгово-развлекательный центр с кинотеатром</w:t>
            </w:r>
          </w:p>
        </w:tc>
        <w:tc>
          <w:tcPr>
            <w:tcW w:w="1937"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0,66</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объект торговли (торговая площадь)</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помещение для досуга населения</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кинотеатр</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73</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административно-офисный объект (1 этаж)</w:t>
            </w:r>
          </w:p>
        </w:tc>
        <w:tc>
          <w:tcPr>
            <w:tcW w:w="193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 общественного питания (ресторан)</w:t>
            </w:r>
          </w:p>
        </w:tc>
        <w:tc>
          <w:tcPr>
            <w:tcW w:w="193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 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w:t>
            </w:r>
          </w:p>
        </w:tc>
      </w:tr>
      <w:tr w:rsidR="00201A0D" w:rsidRPr="00201A0D" w:rsidTr="00201A0D">
        <w:trPr>
          <w:tblHeader/>
        </w:trPr>
        <w:tc>
          <w:tcPr>
            <w:tcW w:w="12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административно-офисный объект, гостиница</w:t>
            </w:r>
          </w:p>
        </w:tc>
        <w:tc>
          <w:tcPr>
            <w:tcW w:w="1937"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1,57</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офисы</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r>
      <w:tr w:rsidR="00201A0D" w:rsidRPr="00201A0D" w:rsidTr="00201A0D">
        <w:trPr>
          <w:tblHeader/>
        </w:trPr>
        <w:tc>
          <w:tcPr>
            <w:tcW w:w="1242" w:type="dxa"/>
            <w:vMerge/>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гостиница</w:t>
            </w:r>
          </w:p>
        </w:tc>
        <w:tc>
          <w:tcPr>
            <w:tcW w:w="1937" w:type="dxa"/>
            <w:vMerge/>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78</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спортивно-оздоровительный комплекс (центр боевых искусств)</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 (2 этажа)</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1,80</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открытые спортивные сооружения</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1,56</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91</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автостанция</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18,24</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0420" w:type="dxa"/>
            <w:gridSpan w:val="5"/>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рекреационного назначения, туризма и  отдыха</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охотничья база отдыха</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0,57</w:t>
            </w:r>
          </w:p>
        </w:tc>
        <w:tc>
          <w:tcPr>
            <w:tcW w:w="174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174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лесопарковая  зона</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0,91</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w:t>
            </w:r>
          </w:p>
        </w:tc>
        <w:tc>
          <w:tcPr>
            <w:tcW w:w="375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Парки и  скверы, детские площадки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лесопарковая  зона</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0,40</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существующая зона рекреации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1,79</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планируемая зона рекреации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66</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Парки и  скверы, детские площадки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0,86</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69</w:t>
            </w:r>
          </w:p>
        </w:tc>
        <w:tc>
          <w:tcPr>
            <w:tcW w:w="375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Парки и  скверы, детские площадки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w:t>
            </w:r>
          </w:p>
        </w:tc>
        <w:tc>
          <w:tcPr>
            <w:tcW w:w="375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Парки и  скверы, детские площадки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0,82</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лодочная станция</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0,52</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Парки и  скверы, детские площадки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лесопарковая  зона</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90</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Парки и  скверы, детские площадки</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8,84</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0420" w:type="dxa"/>
            <w:gridSpan w:val="5"/>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инженерно-технического назначения</w:t>
            </w: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инженерных объектов</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0,62</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инженерных объектов</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инженерных объектов</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инженерных объектов</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w:t>
            </w: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инженерных объектов</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blHeader/>
        </w:trPr>
        <w:tc>
          <w:tcPr>
            <w:tcW w:w="1242" w:type="dxa"/>
            <w:vAlign w:val="center"/>
          </w:tcPr>
          <w:p w:rsidR="00201A0D" w:rsidRPr="00201A0D" w:rsidRDefault="00201A0D" w:rsidP="00201A0D">
            <w:pPr>
              <w:spacing w:after="0"/>
              <w:rPr>
                <w:rFonts w:ascii="Times New Roman" w:hAnsi="Times New Roman" w:cs="Times New Roman"/>
                <w:sz w:val="20"/>
                <w:szCs w:val="20"/>
              </w:rPr>
            </w:pPr>
          </w:p>
        </w:tc>
        <w:tc>
          <w:tcPr>
            <w:tcW w:w="375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Итого </w:t>
            </w:r>
          </w:p>
        </w:tc>
        <w:tc>
          <w:tcPr>
            <w:tcW w:w="193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w:t>
            </w:r>
          </w:p>
        </w:tc>
        <w:tc>
          <w:tcPr>
            <w:tcW w:w="1745" w:type="dxa"/>
            <w:vAlign w:val="center"/>
          </w:tcPr>
          <w:p w:rsidR="00201A0D" w:rsidRPr="00201A0D" w:rsidRDefault="00201A0D" w:rsidP="00201A0D">
            <w:pPr>
              <w:spacing w:after="0"/>
              <w:rPr>
                <w:rFonts w:ascii="Times New Roman" w:hAnsi="Times New Roman" w:cs="Times New Roman"/>
                <w:sz w:val="20"/>
                <w:szCs w:val="20"/>
              </w:rPr>
            </w:pPr>
          </w:p>
        </w:tc>
        <w:tc>
          <w:tcPr>
            <w:tcW w:w="1745" w:type="dxa"/>
            <w:vAlign w:val="center"/>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3C0C73">
      <w:pPr>
        <w:spacing w:after="0"/>
        <w:jc w:val="both"/>
        <w:rPr>
          <w:rFonts w:ascii="Times New Roman" w:hAnsi="Times New Roman" w:cs="Times New Roman"/>
          <w:sz w:val="20"/>
          <w:szCs w:val="20"/>
        </w:rPr>
      </w:pPr>
      <w:bookmarkStart w:id="57" w:name="_Toc280363947"/>
      <w:bookmarkStart w:id="58" w:name="_Toc285456168"/>
      <w:bookmarkStart w:id="59" w:name="_Toc289164402"/>
      <w:bookmarkStart w:id="60" w:name="_Toc298405401"/>
      <w:bookmarkStart w:id="61" w:name="_Toc315963945"/>
      <w:bookmarkStart w:id="62" w:name="_Toc343505727"/>
      <w:bookmarkStart w:id="63" w:name="_Toc433382432"/>
      <w:r w:rsidRPr="00201A0D">
        <w:rPr>
          <w:rFonts w:ascii="Times New Roman" w:hAnsi="Times New Roman" w:cs="Times New Roman"/>
          <w:sz w:val="20"/>
          <w:szCs w:val="20"/>
        </w:rPr>
        <w:t xml:space="preserve">6. </w:t>
      </w:r>
      <w:bookmarkEnd w:id="57"/>
      <w:bookmarkEnd w:id="58"/>
      <w:bookmarkEnd w:id="59"/>
      <w:bookmarkEnd w:id="60"/>
      <w:bookmarkEnd w:id="61"/>
      <w:bookmarkEnd w:id="62"/>
      <w:r w:rsidRPr="00201A0D">
        <w:rPr>
          <w:rFonts w:ascii="Times New Roman" w:hAnsi="Times New Roman" w:cs="Times New Roman"/>
          <w:sz w:val="20"/>
          <w:szCs w:val="20"/>
        </w:rPr>
        <w:t>Функциональное зонирование территории.</w:t>
      </w:r>
      <w:bookmarkEnd w:id="63"/>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Разработанное в составе Генерального плана функциональное зонирование учитывает: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результаты комплексного градостроительного анализа территории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историко-культурную и планировочную специфику населенного пункта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сложившиеся особенности использования территории.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2002г. №73-ФЗ, требования специальных нормативов и правил, касающиеся зон с нормируемым режимом градостроительной деятельности.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Ниже приводится перечень функциональных зон Генерального плана Едровского сельского поселения: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функциональные зоны за пределами населенного пункта: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 зона градостроительного использования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производственного использования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инженерной и транспортной инфраструктуры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сельскохозяйственного использования;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рекреационного назначения;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специального назначения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функциональные зоны в населенном пункте: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застройки индивидуальными жилыми домами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застройки малоэтажными жилыми домами;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общественно-делового назначения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производственного использования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коммунально-складского использования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инженерной и транспортной инфраструктуры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рекреационного назначения (существующая и планируемая);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сельскохозяйственных угодий;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зона специального назначения.</w:t>
      </w:r>
    </w:p>
    <w:p w:rsidR="00201A0D" w:rsidRPr="00201A0D" w:rsidRDefault="00201A0D" w:rsidP="003C0C73">
      <w:pPr>
        <w:spacing w:after="0"/>
        <w:jc w:val="both"/>
        <w:rPr>
          <w:rFonts w:ascii="Times New Roman" w:hAnsi="Times New Roman" w:cs="Times New Roman"/>
          <w:sz w:val="20"/>
          <w:szCs w:val="20"/>
        </w:rPr>
      </w:pPr>
      <w:bookmarkStart w:id="64" w:name="_Toc433382433"/>
      <w:r w:rsidRPr="00201A0D">
        <w:rPr>
          <w:rFonts w:ascii="Times New Roman" w:hAnsi="Times New Roman" w:cs="Times New Roman"/>
          <w:sz w:val="20"/>
          <w:szCs w:val="20"/>
        </w:rPr>
        <w:t>7. Баланс территории.</w:t>
      </w:r>
      <w:bookmarkEnd w:id="64"/>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Настоящий баланс составлен в границах территории Едровского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Баланс территории Едровского сельского поселения на расчетный срок после корректировки границы населенного пункта выглядит следующим образом.</w:t>
      </w:r>
    </w:p>
    <w:p w:rsidR="00201A0D" w:rsidRPr="00201A0D" w:rsidRDefault="00201A0D" w:rsidP="00201A0D">
      <w:pPr>
        <w:spacing w:after="0"/>
        <w:rPr>
          <w:rFonts w:ascii="Times New Roman" w:hAnsi="Times New Roman" w:cs="Times New Roman"/>
          <w:sz w:val="20"/>
          <w:szCs w:val="20"/>
        </w:rPr>
      </w:pPr>
    </w:p>
    <w:tbl>
      <w:tblPr>
        <w:tblW w:w="5000" w:type="pct"/>
        <w:tblInd w:w="108" w:type="dxa"/>
        <w:tblLayout w:type="fixed"/>
        <w:tblLook w:val="0000"/>
      </w:tblPr>
      <w:tblGrid>
        <w:gridCol w:w="415"/>
        <w:gridCol w:w="120"/>
        <w:gridCol w:w="1897"/>
        <w:gridCol w:w="948"/>
        <w:gridCol w:w="1309"/>
        <w:gridCol w:w="918"/>
        <w:gridCol w:w="1172"/>
        <w:gridCol w:w="1300"/>
        <w:gridCol w:w="1492"/>
      </w:tblGrid>
      <w:tr w:rsidR="00201A0D" w:rsidRPr="00201A0D" w:rsidTr="00201A0D">
        <w:trPr>
          <w:cantSplit/>
          <w:trHeight w:hRule="exact" w:val="541"/>
          <w:tblHeader/>
        </w:trPr>
        <w:tc>
          <w:tcPr>
            <w:tcW w:w="434" w:type="dxa"/>
            <w:vMerge w:val="restart"/>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п/п</w:t>
            </w:r>
          </w:p>
        </w:tc>
        <w:tc>
          <w:tcPr>
            <w:tcW w:w="2214" w:type="dxa"/>
            <w:gridSpan w:val="2"/>
            <w:vMerge w:val="restart"/>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Территории</w:t>
            </w:r>
          </w:p>
        </w:tc>
        <w:tc>
          <w:tcPr>
            <w:tcW w:w="2455" w:type="dxa"/>
            <w:gridSpan w:val="2"/>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Современное использование</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Расчетный срок</w:t>
            </w:r>
          </w:p>
        </w:tc>
        <w:tc>
          <w:tcPr>
            <w:tcW w:w="3049" w:type="dxa"/>
            <w:gridSpan w:val="2"/>
            <w:tcBorders>
              <w:top w:val="single" w:sz="4" w:space="0" w:color="000000"/>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Расчетный срок</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Изменения 2018г.</w:t>
            </w:r>
          </w:p>
        </w:tc>
      </w:tr>
      <w:tr w:rsidR="00201A0D" w:rsidRPr="00201A0D" w:rsidTr="00201A0D">
        <w:trPr>
          <w:cantSplit/>
          <w:trHeight w:val="413"/>
          <w:tblHeader/>
        </w:trPr>
        <w:tc>
          <w:tcPr>
            <w:tcW w:w="434" w:type="dxa"/>
            <w:vMerge/>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p>
        </w:tc>
        <w:tc>
          <w:tcPr>
            <w:tcW w:w="2214" w:type="dxa"/>
            <w:gridSpan w:val="2"/>
            <w:vMerge/>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p>
        </w:tc>
        <w:tc>
          <w:tcPr>
            <w:tcW w:w="1027" w:type="dxa"/>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1428" w:type="dxa"/>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993" w:type="dxa"/>
            <w:tcBorders>
              <w:top w:val="single" w:sz="4" w:space="0" w:color="000000"/>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1631"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rPr>
          <w:cantSplit/>
          <w:trHeight w:val="255"/>
        </w:trPr>
        <w:tc>
          <w:tcPr>
            <w:tcW w:w="434"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w:t>
            </w:r>
          </w:p>
        </w:tc>
        <w:tc>
          <w:tcPr>
            <w:tcW w:w="2214" w:type="dxa"/>
            <w:gridSpan w:val="2"/>
            <w:tcBorders>
              <w:left w:val="single" w:sz="4" w:space="0" w:color="000000"/>
              <w:bottom w:val="single" w:sz="4" w:space="0" w:color="000000"/>
            </w:tcBorders>
            <w:shd w:val="clear" w:color="auto" w:fill="auto"/>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Земли сельскохозяйственного назначения </w:t>
            </w:r>
          </w:p>
        </w:tc>
        <w:tc>
          <w:tcPr>
            <w:tcW w:w="1027"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3748,77</w:t>
            </w:r>
          </w:p>
        </w:tc>
        <w:tc>
          <w:tcPr>
            <w:tcW w:w="1428"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6,99</w:t>
            </w:r>
          </w:p>
        </w:tc>
        <w:tc>
          <w:tcPr>
            <w:tcW w:w="993"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3748,77</w:t>
            </w:r>
          </w:p>
        </w:tc>
        <w:tc>
          <w:tcPr>
            <w:tcW w:w="1275"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6,99</w:t>
            </w:r>
          </w:p>
        </w:tc>
        <w:tc>
          <w:tcPr>
            <w:tcW w:w="1418"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3693,77</w:t>
            </w:r>
          </w:p>
        </w:tc>
        <w:tc>
          <w:tcPr>
            <w:tcW w:w="1631"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6,88</w:t>
            </w:r>
          </w:p>
        </w:tc>
      </w:tr>
      <w:tr w:rsidR="00201A0D" w:rsidRPr="00201A0D" w:rsidTr="00201A0D">
        <w:trPr>
          <w:cantSplit/>
          <w:trHeight w:val="255"/>
        </w:trPr>
        <w:tc>
          <w:tcPr>
            <w:tcW w:w="434"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II</w:t>
            </w:r>
          </w:p>
        </w:tc>
        <w:tc>
          <w:tcPr>
            <w:tcW w:w="2214" w:type="dxa"/>
            <w:gridSpan w:val="2"/>
            <w:tcBorders>
              <w:left w:val="single" w:sz="4" w:space="0" w:color="000000"/>
              <w:bottom w:val="single" w:sz="4" w:space="0" w:color="000000"/>
            </w:tcBorders>
            <w:shd w:val="clear" w:color="auto" w:fill="auto"/>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Земли населенных пунктов </w:t>
            </w:r>
          </w:p>
        </w:tc>
        <w:tc>
          <w:tcPr>
            <w:tcW w:w="1027"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3012,43</w:t>
            </w:r>
          </w:p>
        </w:tc>
        <w:tc>
          <w:tcPr>
            <w:tcW w:w="1428"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5,61</w:t>
            </w:r>
          </w:p>
        </w:tc>
        <w:tc>
          <w:tcPr>
            <w:tcW w:w="993"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3012,43</w:t>
            </w:r>
          </w:p>
        </w:tc>
        <w:tc>
          <w:tcPr>
            <w:tcW w:w="1275"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5,61</w:t>
            </w:r>
          </w:p>
        </w:tc>
        <w:tc>
          <w:tcPr>
            <w:tcW w:w="1418"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3067,43</w:t>
            </w:r>
          </w:p>
        </w:tc>
        <w:tc>
          <w:tcPr>
            <w:tcW w:w="1631"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5,72</w:t>
            </w:r>
          </w:p>
        </w:tc>
      </w:tr>
      <w:tr w:rsidR="00201A0D" w:rsidRPr="00201A0D" w:rsidTr="00201A0D">
        <w:trPr>
          <w:cantSplit/>
          <w:trHeight w:val="255"/>
        </w:trPr>
        <w:tc>
          <w:tcPr>
            <w:tcW w:w="434"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III</w:t>
            </w:r>
          </w:p>
        </w:tc>
        <w:tc>
          <w:tcPr>
            <w:tcW w:w="2214" w:type="dxa"/>
            <w:gridSpan w:val="2"/>
            <w:tcBorders>
              <w:left w:val="single" w:sz="4" w:space="0" w:color="000000"/>
              <w:bottom w:val="single" w:sz="4" w:space="0" w:color="000000"/>
            </w:tcBorders>
            <w:shd w:val="clear" w:color="auto" w:fill="auto"/>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027"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1453,64</w:t>
            </w:r>
          </w:p>
        </w:tc>
        <w:tc>
          <w:tcPr>
            <w:tcW w:w="1428"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w:t>
            </w:r>
          </w:p>
        </w:tc>
        <w:tc>
          <w:tcPr>
            <w:tcW w:w="993"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1453,64</w:t>
            </w:r>
          </w:p>
        </w:tc>
        <w:tc>
          <w:tcPr>
            <w:tcW w:w="1275"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w:t>
            </w:r>
          </w:p>
        </w:tc>
        <w:tc>
          <w:tcPr>
            <w:tcW w:w="1418"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1453,64</w:t>
            </w:r>
          </w:p>
        </w:tc>
        <w:tc>
          <w:tcPr>
            <w:tcW w:w="1631"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w:t>
            </w:r>
          </w:p>
        </w:tc>
      </w:tr>
      <w:tr w:rsidR="00201A0D" w:rsidRPr="00201A0D" w:rsidTr="00201A0D">
        <w:trPr>
          <w:cantSplit/>
          <w:trHeight w:val="255"/>
        </w:trPr>
        <w:tc>
          <w:tcPr>
            <w:tcW w:w="434"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IV</w:t>
            </w:r>
          </w:p>
        </w:tc>
        <w:tc>
          <w:tcPr>
            <w:tcW w:w="2214" w:type="dxa"/>
            <w:gridSpan w:val="2"/>
            <w:tcBorders>
              <w:left w:val="single" w:sz="4" w:space="0" w:color="000000"/>
              <w:bottom w:val="single" w:sz="4" w:space="0" w:color="000000"/>
            </w:tcBorders>
            <w:shd w:val="clear" w:color="auto" w:fill="auto"/>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Земли особо охраняемых территорий </w:t>
            </w:r>
          </w:p>
        </w:tc>
        <w:tc>
          <w:tcPr>
            <w:tcW w:w="1027"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2,82</w:t>
            </w:r>
          </w:p>
        </w:tc>
        <w:tc>
          <w:tcPr>
            <w:tcW w:w="1428"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993"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2,82</w:t>
            </w:r>
          </w:p>
        </w:tc>
        <w:tc>
          <w:tcPr>
            <w:tcW w:w="1275"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1418"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2,82</w:t>
            </w:r>
          </w:p>
        </w:tc>
        <w:tc>
          <w:tcPr>
            <w:tcW w:w="1631"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r>
      <w:tr w:rsidR="00201A0D" w:rsidRPr="00201A0D" w:rsidTr="00201A0D">
        <w:trPr>
          <w:cantSplit/>
          <w:trHeight w:val="255"/>
        </w:trPr>
        <w:tc>
          <w:tcPr>
            <w:tcW w:w="434"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VII</w:t>
            </w:r>
          </w:p>
        </w:tc>
        <w:tc>
          <w:tcPr>
            <w:tcW w:w="2214" w:type="dxa"/>
            <w:gridSpan w:val="2"/>
            <w:tcBorders>
              <w:left w:val="single" w:sz="4" w:space="0" w:color="000000"/>
              <w:bottom w:val="single" w:sz="4" w:space="0" w:color="000000"/>
            </w:tcBorders>
            <w:shd w:val="clear" w:color="auto" w:fill="auto"/>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Земли лесного фонда </w:t>
            </w:r>
          </w:p>
        </w:tc>
        <w:tc>
          <w:tcPr>
            <w:tcW w:w="1027"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42975,75</w:t>
            </w:r>
          </w:p>
        </w:tc>
        <w:tc>
          <w:tcPr>
            <w:tcW w:w="1428"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80,10</w:t>
            </w:r>
          </w:p>
        </w:tc>
        <w:tc>
          <w:tcPr>
            <w:tcW w:w="993"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42975,75</w:t>
            </w:r>
          </w:p>
        </w:tc>
        <w:tc>
          <w:tcPr>
            <w:tcW w:w="1275"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80,10</w:t>
            </w:r>
          </w:p>
        </w:tc>
        <w:tc>
          <w:tcPr>
            <w:tcW w:w="1418"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42975,75</w:t>
            </w:r>
          </w:p>
        </w:tc>
        <w:tc>
          <w:tcPr>
            <w:tcW w:w="1631"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80,10</w:t>
            </w:r>
          </w:p>
        </w:tc>
      </w:tr>
      <w:tr w:rsidR="00201A0D" w:rsidRPr="00201A0D" w:rsidTr="00201A0D">
        <w:trPr>
          <w:cantSplit/>
          <w:trHeight w:val="255"/>
        </w:trPr>
        <w:tc>
          <w:tcPr>
            <w:tcW w:w="434"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VI</w:t>
            </w:r>
          </w:p>
        </w:tc>
        <w:tc>
          <w:tcPr>
            <w:tcW w:w="2214" w:type="dxa"/>
            <w:gridSpan w:val="2"/>
            <w:tcBorders>
              <w:left w:val="single" w:sz="4" w:space="0" w:color="000000"/>
              <w:bottom w:val="single" w:sz="4" w:space="0" w:color="000000"/>
            </w:tcBorders>
            <w:shd w:val="clear" w:color="auto" w:fill="auto"/>
            <w:vAlign w:val="bottom"/>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Земли водного фонда </w:t>
            </w:r>
          </w:p>
        </w:tc>
        <w:tc>
          <w:tcPr>
            <w:tcW w:w="1027"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2457,42</w:t>
            </w:r>
          </w:p>
        </w:tc>
        <w:tc>
          <w:tcPr>
            <w:tcW w:w="1428"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w:t>
            </w:r>
          </w:p>
        </w:tc>
        <w:tc>
          <w:tcPr>
            <w:tcW w:w="993" w:type="dxa"/>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2457,42</w:t>
            </w:r>
          </w:p>
        </w:tc>
        <w:tc>
          <w:tcPr>
            <w:tcW w:w="1275" w:type="dxa"/>
            <w:tcBorders>
              <w:left w:val="single" w:sz="4" w:space="0" w:color="000000"/>
              <w:bottom w:val="single" w:sz="4" w:space="0" w:color="000000"/>
              <w:right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w:t>
            </w:r>
          </w:p>
        </w:tc>
        <w:tc>
          <w:tcPr>
            <w:tcW w:w="1418"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2457,42</w:t>
            </w:r>
          </w:p>
        </w:tc>
        <w:tc>
          <w:tcPr>
            <w:tcW w:w="1631" w:type="dxa"/>
            <w:tcBorders>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w:t>
            </w:r>
          </w:p>
        </w:tc>
      </w:tr>
      <w:tr w:rsidR="00201A0D" w:rsidRPr="00201A0D" w:rsidTr="00201A0D">
        <w:trPr>
          <w:cantSplit/>
          <w:trHeight w:val="255"/>
        </w:trPr>
        <w:tc>
          <w:tcPr>
            <w:tcW w:w="2648" w:type="dxa"/>
            <w:gridSpan w:val="3"/>
            <w:tcBorders>
              <w:left w:val="single" w:sz="4" w:space="0" w:color="000000"/>
              <w:bottom w:val="single" w:sz="4" w:space="0" w:color="000000"/>
            </w:tcBorders>
            <w:shd w:val="clear" w:color="auto" w:fill="auto"/>
            <w:vAlign w:val="center"/>
          </w:tcPr>
          <w:p w:rsidR="00201A0D" w:rsidRPr="00201A0D" w:rsidRDefault="00201A0D" w:rsidP="00201A0D">
            <w:pPr>
              <w:spacing w:after="0"/>
              <w:rPr>
                <w:rFonts w:ascii="Times New Roman" w:hAnsi="Times New Roman" w:cs="Times New Roman"/>
                <w:sz w:val="20"/>
                <w:szCs w:val="20"/>
              </w:rPr>
            </w:pPr>
          </w:p>
        </w:tc>
        <w:tc>
          <w:tcPr>
            <w:tcW w:w="1027" w:type="dxa"/>
            <w:tcBorders>
              <w:left w:val="single" w:sz="4" w:space="0" w:color="000000"/>
              <w:bottom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53650,83</w:t>
            </w:r>
          </w:p>
        </w:tc>
        <w:tc>
          <w:tcPr>
            <w:tcW w:w="1428" w:type="dxa"/>
            <w:tcBorders>
              <w:left w:val="single" w:sz="4" w:space="0" w:color="000000"/>
              <w:bottom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100,0</w:t>
            </w:r>
          </w:p>
        </w:tc>
        <w:tc>
          <w:tcPr>
            <w:tcW w:w="993" w:type="dxa"/>
            <w:tcBorders>
              <w:left w:val="single" w:sz="4" w:space="0" w:color="000000"/>
              <w:bottom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53650,83</w:t>
            </w:r>
          </w:p>
        </w:tc>
        <w:tc>
          <w:tcPr>
            <w:tcW w:w="1275" w:type="dxa"/>
            <w:tcBorders>
              <w:left w:val="single" w:sz="4" w:space="0" w:color="000000"/>
              <w:bottom w:val="single" w:sz="4" w:space="0" w:color="000000"/>
              <w:right w:val="single" w:sz="4" w:space="0" w:color="000000"/>
            </w:tcBorders>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100,0</w:t>
            </w:r>
          </w:p>
        </w:tc>
        <w:tc>
          <w:tcPr>
            <w:tcW w:w="1418" w:type="dxa"/>
            <w:tcBorders>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p>
        </w:tc>
        <w:tc>
          <w:tcPr>
            <w:tcW w:w="1631" w:type="dxa"/>
            <w:tcBorders>
              <w:left w:val="single" w:sz="4" w:space="0" w:color="000000"/>
              <w:bottom w:val="single" w:sz="4" w:space="0" w:color="000000"/>
              <w:right w:val="single" w:sz="4" w:space="0" w:color="000000"/>
            </w:tcBorders>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w:t>
            </w:r>
          </w:p>
        </w:tc>
        <w:tc>
          <w:tcPr>
            <w:tcW w:w="2081" w:type="dxa"/>
          </w:tcPr>
          <w:p w:rsidR="00201A0D" w:rsidRPr="00201A0D" w:rsidRDefault="003E53A7" w:rsidP="00201A0D">
            <w:pPr>
              <w:spacing w:after="0"/>
              <w:rPr>
                <w:rFonts w:ascii="Times New Roman" w:hAnsi="Times New Roman" w:cs="Times New Roman"/>
                <w:sz w:val="20"/>
                <w:szCs w:val="20"/>
              </w:rPr>
            </w:pPr>
            <w:r>
              <w:rPr>
                <w:rFonts w:ascii="Times New Roman" w:hAnsi="Times New Roman" w:cs="Times New Roman"/>
                <w:sz w:val="20"/>
                <w:szCs w:val="20"/>
              </w:rPr>
              <w:t>д. Афа</w:t>
            </w:r>
            <w:r w:rsidR="00201A0D" w:rsidRPr="00201A0D">
              <w:rPr>
                <w:rFonts w:ascii="Times New Roman" w:hAnsi="Times New Roman" w:cs="Times New Roman"/>
                <w:sz w:val="20"/>
                <w:szCs w:val="20"/>
              </w:rPr>
              <w:t>насово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65,94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65,94</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65,94</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19,94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30,24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19,94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30,24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19,94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30,24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42,67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64,71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42,67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64,71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42,67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64,71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д.Бель</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35,63</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35,63</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18,74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52,60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18,74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52,60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18,74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52,60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43,70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43,70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43,70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1027" w:type="dxa"/>
            <w:vAlign w:val="center"/>
          </w:tcPr>
          <w:p w:rsidR="00201A0D" w:rsidRPr="00201A0D" w:rsidRDefault="00201A0D" w:rsidP="00201A0D">
            <w:pPr>
              <w:spacing w:after="0"/>
              <w:rPr>
                <w:rFonts w:ascii="Times New Roman" w:hAnsi="Times New Roman" w:cs="Times New Roman"/>
                <w:sz w:val="20"/>
                <w:szCs w:val="20"/>
                <w:highlight w:val="lightGray"/>
              </w:rPr>
            </w:pPr>
            <w:r w:rsidRPr="00201A0D">
              <w:rPr>
                <w:rFonts w:ascii="Times New Roman" w:hAnsi="Times New Roman" w:cs="Times New Roman"/>
                <w:sz w:val="20"/>
                <w:szCs w:val="20"/>
              </w:rPr>
              <w:t>110,67</w:t>
            </w:r>
          </w:p>
        </w:tc>
        <w:tc>
          <w:tcPr>
            <w:tcW w:w="1428" w:type="dxa"/>
            <w:vAlign w:val="center"/>
          </w:tcPr>
          <w:p w:rsidR="00201A0D" w:rsidRPr="00201A0D" w:rsidRDefault="00201A0D" w:rsidP="00201A0D">
            <w:pPr>
              <w:spacing w:after="0"/>
              <w:rPr>
                <w:rFonts w:ascii="Times New Roman" w:hAnsi="Times New Roman" w:cs="Times New Roman"/>
                <w:sz w:val="20"/>
                <w:szCs w:val="20"/>
                <w:highlight w:val="lightGray"/>
              </w:rPr>
            </w:pPr>
          </w:p>
        </w:tc>
        <w:tc>
          <w:tcPr>
            <w:tcW w:w="993" w:type="dxa"/>
            <w:vAlign w:val="center"/>
          </w:tcPr>
          <w:p w:rsidR="00201A0D" w:rsidRPr="00201A0D" w:rsidRDefault="00201A0D" w:rsidP="00201A0D">
            <w:pPr>
              <w:spacing w:after="0"/>
              <w:rPr>
                <w:rFonts w:ascii="Times New Roman" w:hAnsi="Times New Roman" w:cs="Times New Roman"/>
                <w:sz w:val="20"/>
                <w:szCs w:val="20"/>
                <w:highlight w:val="lightGray"/>
              </w:rPr>
            </w:pPr>
            <w:r w:rsidRPr="00201A0D">
              <w:rPr>
                <w:rFonts w:ascii="Times New Roman" w:hAnsi="Times New Roman" w:cs="Times New Roman"/>
                <w:sz w:val="20"/>
                <w:szCs w:val="20"/>
              </w:rPr>
              <w:t>110,67</w:t>
            </w:r>
          </w:p>
        </w:tc>
        <w:tc>
          <w:tcPr>
            <w:tcW w:w="1275" w:type="dxa"/>
          </w:tcPr>
          <w:p w:rsidR="00201A0D" w:rsidRPr="00201A0D" w:rsidRDefault="00201A0D" w:rsidP="00201A0D">
            <w:pPr>
              <w:spacing w:after="0"/>
              <w:rPr>
                <w:rFonts w:ascii="Times New Roman" w:hAnsi="Times New Roman" w:cs="Times New Roman"/>
                <w:sz w:val="20"/>
                <w:szCs w:val="20"/>
              </w:rPr>
            </w:pPr>
          </w:p>
        </w:tc>
        <w:tc>
          <w:tcPr>
            <w:tcW w:w="1418" w:type="dxa"/>
            <w:vAlign w:val="center"/>
          </w:tcPr>
          <w:p w:rsidR="00201A0D" w:rsidRPr="00201A0D" w:rsidRDefault="00201A0D" w:rsidP="00201A0D">
            <w:pPr>
              <w:spacing w:after="0"/>
              <w:rPr>
                <w:rFonts w:ascii="Times New Roman" w:hAnsi="Times New Roman" w:cs="Times New Roman"/>
                <w:sz w:val="20"/>
                <w:szCs w:val="20"/>
                <w:highlight w:val="lightGray"/>
              </w:rPr>
            </w:pPr>
            <w:r w:rsidRPr="00201A0D">
              <w:rPr>
                <w:rFonts w:ascii="Times New Roman" w:hAnsi="Times New Roman" w:cs="Times New Roman"/>
                <w:sz w:val="20"/>
                <w:szCs w:val="20"/>
              </w:rPr>
              <w:t>110,67</w:t>
            </w:r>
          </w:p>
        </w:tc>
        <w:tc>
          <w:tcPr>
            <w:tcW w:w="1631" w:type="dxa"/>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45,59</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41,19</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58,34</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52,72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58,34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52,72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2,91</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2,63</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25,38</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22,93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25,38</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22,93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9,3</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8,40</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6,46</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52,87</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47,77</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17,83</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16,11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17,83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16,11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2,66</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21,74</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21,74</w:t>
            </w:r>
          </w:p>
        </w:tc>
        <w:tc>
          <w:tcPr>
            <w:tcW w:w="1275" w:type="dxa"/>
            <w:shd w:val="clear" w:color="auto" w:fill="auto"/>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21,74</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6,31</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29,02</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6,31</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29,02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29,02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w:t>
            </w:r>
          </w:p>
        </w:tc>
        <w:tc>
          <w:tcPr>
            <w:tcW w:w="1428"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7,91</w:t>
            </w:r>
          </w:p>
        </w:tc>
        <w:tc>
          <w:tcPr>
            <w:tcW w:w="993"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w:t>
            </w:r>
          </w:p>
        </w:tc>
        <w:tc>
          <w:tcPr>
            <w:tcW w:w="1275" w:type="dxa"/>
            <w:shd w:val="clear" w:color="auto" w:fill="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4.3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13,71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63,06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д.Гвоздки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94,21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94,21</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94,21</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29,42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31,23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29,42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31,23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29,42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31,23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49,57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52,62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49,57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52,62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49,57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52,62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56,83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56,83</w:t>
            </w:r>
          </w:p>
        </w:tc>
        <w:tc>
          <w:tcPr>
            <w:tcW w:w="1275" w:type="dxa"/>
            <w:vAlign w:val="center"/>
          </w:tcPr>
          <w:p w:rsidR="00201A0D" w:rsidRPr="00201A0D" w:rsidRDefault="00201A0D" w:rsidP="00201A0D">
            <w:pPr>
              <w:spacing w:after="0"/>
              <w:rPr>
                <w:rFonts w:ascii="Times New Roman" w:hAnsi="Times New Roman" w:cs="Times New Roman"/>
                <w:sz w:val="20"/>
                <w:szCs w:val="20"/>
              </w:rPr>
            </w:pP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56,83</w:t>
            </w:r>
          </w:p>
        </w:tc>
        <w:tc>
          <w:tcPr>
            <w:tcW w:w="1631" w:type="dxa"/>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29,66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52,19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29,66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52,19</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29,76</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52,37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малоэтажными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3,24</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0,83</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7,30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7,30</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4,15</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7,30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20,71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36,44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20,71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36,44</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20,71</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36,44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64,93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64,93</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64,93</w:t>
            </w:r>
          </w:p>
        </w:tc>
        <w:tc>
          <w:tcPr>
            <w:tcW w:w="1631" w:type="dxa"/>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51,88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79,90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51,88</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79,90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51,88</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79,90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14,71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14,71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14,71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7.5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д.Костелёво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33,56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33,56</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33,56</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16,33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48,66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16,33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48,66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16,33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48,66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21,25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21,25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21,25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158,19</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158,19</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102,91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65,05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102,91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65,05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102,91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65,05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47,25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47,25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47,25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87,72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87,72</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87,72</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31,98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31,98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31,98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27,70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27,70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27,70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д.Марково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11.1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38,49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70,4</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70,4</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29,37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41,72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29,37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41,72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29,37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41,72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10,94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10,94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10,94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28,74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40,82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18,04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18,04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15,20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15,20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165,63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165,63</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165,63</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75,93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75,93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75,93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50,98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30,78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54,76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33,06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54,76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33,06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16,41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23,37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14,11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23,37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14,11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13.6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д.Новинка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80,98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80,98</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80,98</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30,90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30,90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30,90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39,52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39,52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39,52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Плав</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129,2</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129,2</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104,19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80,64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104,19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80,64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104,19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80,64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10,16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10,16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10,16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7,27</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7,27</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д.Рядчино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49,5</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104,5</w:t>
            </w:r>
          </w:p>
        </w:tc>
        <w:tc>
          <w:tcPr>
            <w:tcW w:w="1631"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20,05</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40,51</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20,05</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40,51</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90,2</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86,32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2,42</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4,89</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2,42</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4,89</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8,06</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8,06</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17.4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23,04</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46,55</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23,04</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46,55</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189,12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189,12</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189,12</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75,59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75,59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75,59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95,96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50,74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95,96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50,74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95,96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50,74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40,9</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40,9</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49,12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49,12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49,12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18,36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44,89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18,36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44,89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18,36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44,89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д.Среднее Носакино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18,15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18,15</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18,15</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8,26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45,51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8,26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45,51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8,26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45,51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65,28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65,28</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65,28</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21.3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13,40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13,40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13,40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30,71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47,04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30,71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47,04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30,71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47,04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6,89</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6,89</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8,88</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60,71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60,71</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60,71</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28,17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17,1</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28,17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17,1</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28,17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4,41</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2,68</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4,41</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2,68</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4,41</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40,93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67,42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36,96</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60,88</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36,96</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60,88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д.Старово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22,74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22,74</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22,74</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50,13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50,13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50,13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10,03</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2,28</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10,03</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2,28</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7,61</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33,47</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31,09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31,09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98,77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98,77</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98,77</w:t>
            </w:r>
          </w:p>
        </w:tc>
        <w:tc>
          <w:tcPr>
            <w:tcW w:w="1631" w:type="dxa"/>
            <w:vAlign w:val="bottom"/>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40,25</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40,75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40,25</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40,75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40,25</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40,75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24.2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3,82</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3,82</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3,82</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41,38</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41,38</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41,38</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13,37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13,54</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13,37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13,54</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13,37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97,9</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97,9</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p>
        </w:tc>
        <w:tc>
          <w:tcPr>
            <w:tcW w:w="1631" w:type="dxa"/>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31,82</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32,50</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31,82</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32,50</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31,82</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32,50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2,14</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2,19</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2,14</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2,19</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2,14</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2,19</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41,17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42,05</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41,17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42,05</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41,17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42,05</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22,77</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23,26</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22,77</w:t>
            </w:r>
          </w:p>
        </w:tc>
        <w:tc>
          <w:tcPr>
            <w:tcW w:w="1275"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23,26</w:t>
            </w: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22,77</w:t>
            </w:r>
          </w:p>
        </w:tc>
        <w:tc>
          <w:tcPr>
            <w:tcW w:w="163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23,26</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с.Едрово</w:t>
            </w:r>
          </w:p>
        </w:tc>
        <w:tc>
          <w:tcPr>
            <w:tcW w:w="1027"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1156,66</w:t>
            </w:r>
          </w:p>
        </w:tc>
        <w:tc>
          <w:tcPr>
            <w:tcW w:w="142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w:t>
            </w:r>
          </w:p>
        </w:tc>
        <w:tc>
          <w:tcPr>
            <w:tcW w:w="993"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1156,66</w:t>
            </w:r>
          </w:p>
        </w:tc>
        <w:tc>
          <w:tcPr>
            <w:tcW w:w="1275" w:type="dxa"/>
            <w:vAlign w:val="bottom"/>
          </w:tcPr>
          <w:p w:rsidR="00201A0D" w:rsidRPr="00201A0D" w:rsidRDefault="00201A0D" w:rsidP="00201A0D">
            <w:pPr>
              <w:spacing w:after="0"/>
              <w:rPr>
                <w:rFonts w:ascii="Times New Roman" w:hAnsi="Times New Roman" w:cs="Times New Roman"/>
                <w:sz w:val="20"/>
                <w:szCs w:val="20"/>
              </w:rPr>
            </w:pPr>
          </w:p>
        </w:tc>
        <w:tc>
          <w:tcPr>
            <w:tcW w:w="1418"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1156,66</w:t>
            </w:r>
          </w:p>
        </w:tc>
        <w:tc>
          <w:tcPr>
            <w:tcW w:w="1631" w:type="dxa"/>
          </w:tcPr>
          <w:p w:rsidR="00201A0D" w:rsidRPr="00201A0D" w:rsidRDefault="00201A0D" w:rsidP="00201A0D">
            <w:pPr>
              <w:spacing w:after="0"/>
              <w:rPr>
                <w:rFonts w:ascii="Times New Roman" w:hAnsi="Times New Roman" w:cs="Times New Roman"/>
                <w:sz w:val="20"/>
                <w:szCs w:val="20"/>
              </w:rPr>
            </w:pP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26.1</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индивидуальными жилыми домами</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264,78</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22,89</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354,57</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30,65</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359,08</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31,04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26.2</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застройки малоэтажными жилыми домами</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0,86</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0,86</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0,86</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26.3</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общественно-делового назначения</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7,45</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0,64</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25,08</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2,17</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24,11</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производственного использования</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57,85</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5,00</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135,67</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11,73</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131,87</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26.5</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коммунально-складского использования</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2,15</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0,19</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26.6</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инженерной и транспортной инфраструктуры</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124,22</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10,74</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127,71</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11,04</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127,71</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11,04</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26.7</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рекреационного назначения</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454,01</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39,25</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415,03</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35,88</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415,29</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35,90</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26.8</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сельскохозяйственных угодий</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242,57</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20,97</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92,26</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7,98</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92,26</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7,98</w:t>
            </w:r>
          </w:p>
        </w:tc>
      </w:tr>
      <w:tr w:rsidR="00201A0D" w:rsidRPr="00201A0D" w:rsidTr="00201A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67" w:type="dxa"/>
            <w:gridSpan w:val="2"/>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26.9</w:t>
            </w:r>
          </w:p>
        </w:tc>
        <w:tc>
          <w:tcPr>
            <w:tcW w:w="2081" w:type="dxa"/>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Зона специального назначения</w:t>
            </w:r>
          </w:p>
        </w:tc>
        <w:tc>
          <w:tcPr>
            <w:tcW w:w="1027"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2,77</w:t>
            </w:r>
          </w:p>
        </w:tc>
        <w:tc>
          <w:tcPr>
            <w:tcW w:w="142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99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2,77</w:t>
            </w:r>
          </w:p>
        </w:tc>
        <w:tc>
          <w:tcPr>
            <w:tcW w:w="1275"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2,77</w:t>
            </w:r>
          </w:p>
        </w:tc>
        <w:tc>
          <w:tcPr>
            <w:tcW w:w="163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r>
    </w:tbl>
    <w:p w:rsidR="00201A0D" w:rsidRPr="00201A0D" w:rsidRDefault="00201A0D" w:rsidP="00201A0D">
      <w:pPr>
        <w:spacing w:after="0"/>
        <w:rPr>
          <w:rFonts w:ascii="Times New Roman" w:hAnsi="Times New Roman" w:cs="Times New Roman"/>
          <w:sz w:val="20"/>
          <w:szCs w:val="20"/>
        </w:rPr>
      </w:pPr>
      <w:bookmarkStart w:id="65" w:name="_Toc289164428"/>
      <w:bookmarkStart w:id="66" w:name="_Toc316982420"/>
      <w:bookmarkStart w:id="67" w:name="_Toc343505754"/>
    </w:p>
    <w:p w:rsidR="00201A0D" w:rsidRPr="00201A0D" w:rsidRDefault="00201A0D" w:rsidP="003C0C73">
      <w:pPr>
        <w:spacing w:after="0"/>
        <w:jc w:val="both"/>
        <w:rPr>
          <w:rFonts w:ascii="Times New Roman" w:hAnsi="Times New Roman" w:cs="Times New Roman"/>
          <w:sz w:val="20"/>
          <w:szCs w:val="20"/>
        </w:rPr>
      </w:pPr>
      <w:bookmarkStart w:id="68" w:name="_Toc433382434"/>
      <w:r w:rsidRPr="00201A0D">
        <w:rPr>
          <w:rFonts w:ascii="Times New Roman" w:hAnsi="Times New Roman" w:cs="Times New Roman"/>
          <w:sz w:val="20"/>
          <w:szCs w:val="20"/>
        </w:rPr>
        <w:lastRenderedPageBreak/>
        <w:t>8. Инженерное обеспечение и благоустройство территории.</w:t>
      </w:r>
      <w:bookmarkEnd w:id="65"/>
      <w:bookmarkEnd w:id="66"/>
      <w:bookmarkEnd w:id="67"/>
      <w:bookmarkEnd w:id="68"/>
    </w:p>
    <w:p w:rsidR="00201A0D" w:rsidRPr="00201A0D" w:rsidRDefault="00201A0D" w:rsidP="003C0C73">
      <w:pPr>
        <w:spacing w:after="0"/>
        <w:jc w:val="both"/>
        <w:rPr>
          <w:rFonts w:ascii="Times New Roman" w:hAnsi="Times New Roman" w:cs="Times New Roman"/>
          <w:sz w:val="20"/>
          <w:szCs w:val="20"/>
        </w:rPr>
      </w:pPr>
      <w:bookmarkStart w:id="69" w:name="_Toc343149545"/>
      <w:bookmarkStart w:id="70" w:name="_Toc433382435"/>
      <w:r w:rsidRPr="00201A0D">
        <w:rPr>
          <w:rFonts w:ascii="Times New Roman" w:hAnsi="Times New Roman" w:cs="Times New Roman"/>
          <w:sz w:val="20"/>
          <w:szCs w:val="20"/>
        </w:rPr>
        <w:t>8.1 Водоснабжение и водоотведение</w:t>
      </w:r>
      <w:bookmarkEnd w:id="69"/>
      <w:r w:rsidRPr="00201A0D">
        <w:rPr>
          <w:rFonts w:ascii="Times New Roman" w:hAnsi="Times New Roman" w:cs="Times New Roman"/>
          <w:sz w:val="20"/>
          <w:szCs w:val="20"/>
        </w:rPr>
        <w:t>.</w:t>
      </w:r>
      <w:bookmarkEnd w:id="70"/>
    </w:p>
    <w:p w:rsidR="00201A0D" w:rsidRPr="00201A0D" w:rsidRDefault="00201A0D" w:rsidP="003C0C73">
      <w:pPr>
        <w:spacing w:after="0"/>
        <w:jc w:val="both"/>
        <w:rPr>
          <w:rFonts w:ascii="Times New Roman" w:hAnsi="Times New Roman" w:cs="Times New Roman"/>
          <w:sz w:val="20"/>
          <w:szCs w:val="20"/>
        </w:rPr>
      </w:pPr>
      <w:bookmarkStart w:id="71" w:name="_Toc343149546"/>
      <w:r w:rsidRPr="00201A0D">
        <w:rPr>
          <w:rFonts w:ascii="Times New Roman" w:hAnsi="Times New Roman" w:cs="Times New Roman"/>
          <w:sz w:val="20"/>
          <w:szCs w:val="20"/>
        </w:rPr>
        <w:t>Водоснабжение.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состав Едровского сельского поселения входят 26 населённых пунктов. Автономные системы водоснабжения имеют с. Едрово и д. Зелёная Роща, водоснабжение остальных населённых пунктов обеспечивается от индивидуальных приусадебных шахтных колодцев.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на территории с. Едрово действуют 5 автономных тупиковых сетей водопровода: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ул. Щебзавода.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Водопроводная сеть выполнена из чугунных труб Ø 50 мм. В качестве источника водоснабжения используется действующая артезианская скважина дебитом 2 л/с.</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ул. Строителей.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Водопроводная сеть выполнена из чугунных труб Ø 50 мм. В качестве источника водоснабжения используется действующая артезианская скважина дебитом 2 л/с.</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ул. Стационарная.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Водопроводная сеть выполнена из чугунных труб Ø 50 мм. В качестве источника водоснабжения используется действующая артезианская скважина дебитом 2 л/с. Рядом находится не действующая артезианская скважина. На сети в непосредственной близости от скважин установлены водонапорные башни с баком ёмкостью 25 м3 и высотой 15 м каждая.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пос. Животноводов.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Водопроводная сеть выполнена из чугунных труб Ø 50 мм. В качестве источника водоснабжения используется действующая артезианская скважина дебитом 2 л/с. На сети, в непосредственной близости от скважины, установлена водонапорная башня с баком ёмкостью 25 м3 и высотой 15 м.</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ул. Сосновая.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Водопроводная сеть выполнена из чугунных труб Ø 50 мм. В качестве источника водоснабжения используется действующая артезианская скважина дебитом 2 л/с. На сети установлена стальная водонапорная башня с баком ёмкостью 25 м3 и высотой 15 м.</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Часть жилой застройки снабжается водой от водоразборных колонок, установленных на сетях, часть от индивидуальных шахтных колодцев.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на территории д. Зелёная Роща действует тупиковая сеть водопровода, снабжающая водой ПНИ «Добывалово» и часть жилых зданий деревни. Часть жилой застройки снабжается водой от водоразборных колонок, установленных на сети, часть от индивидуальных шахтных колодцев.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качестве источника водоснабжения используются две действующие артезианские скважины, работающие в режиме одна рабочая, а другая - резервная. На сети установлена водонапорная башня с баком ёмкостью 16 м3 и высотой 18 м.</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соответствии с СП 31.13330.2012 приняты следующие нормы водоснабжения: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Водопотребление Едровского сельского поселения на расчётный период составляет – 947,78 м³/сутки (см. таблицу 8.1.1).</w:t>
      </w:r>
    </w:p>
    <w:p w:rsidR="003C0C73" w:rsidRDefault="003C0C73" w:rsidP="003C0C73">
      <w:pPr>
        <w:spacing w:after="0"/>
        <w:jc w:val="both"/>
        <w:rPr>
          <w:rFonts w:ascii="Times New Roman" w:hAnsi="Times New Roman" w:cs="Times New Roman"/>
          <w:sz w:val="20"/>
          <w:szCs w:val="20"/>
        </w:rPr>
      </w:pPr>
    </w:p>
    <w:p w:rsidR="003C0C73" w:rsidRDefault="003C0C73" w:rsidP="003C0C73">
      <w:pPr>
        <w:spacing w:after="0"/>
        <w:jc w:val="both"/>
        <w:rPr>
          <w:rFonts w:ascii="Times New Roman" w:hAnsi="Times New Roman" w:cs="Times New Roman"/>
          <w:sz w:val="20"/>
          <w:szCs w:val="20"/>
        </w:rPr>
      </w:pPr>
    </w:p>
    <w:p w:rsidR="003C0C73" w:rsidRDefault="003C0C73" w:rsidP="003C0C73">
      <w:pPr>
        <w:spacing w:after="0"/>
        <w:jc w:val="both"/>
        <w:rPr>
          <w:rFonts w:ascii="Times New Roman" w:hAnsi="Times New Roman" w:cs="Times New Roman"/>
          <w:sz w:val="20"/>
          <w:szCs w:val="20"/>
        </w:rPr>
      </w:pPr>
    </w:p>
    <w:p w:rsidR="003C0C73" w:rsidRDefault="003C0C73" w:rsidP="003C0C73">
      <w:pPr>
        <w:spacing w:after="0"/>
        <w:jc w:val="both"/>
        <w:rPr>
          <w:rFonts w:ascii="Times New Roman" w:hAnsi="Times New Roman" w:cs="Times New Roman"/>
          <w:sz w:val="20"/>
          <w:szCs w:val="20"/>
        </w:rPr>
      </w:pPr>
    </w:p>
    <w:p w:rsidR="003C0C73" w:rsidRDefault="003C0C73" w:rsidP="003C0C73">
      <w:pPr>
        <w:spacing w:after="0"/>
        <w:jc w:val="both"/>
        <w:rPr>
          <w:rFonts w:ascii="Times New Roman" w:hAnsi="Times New Roman" w:cs="Times New Roman"/>
          <w:sz w:val="20"/>
          <w:szCs w:val="20"/>
        </w:rPr>
      </w:pPr>
    </w:p>
    <w:p w:rsidR="003C0C73" w:rsidRDefault="003C0C73" w:rsidP="003C0C73">
      <w:pPr>
        <w:spacing w:after="0"/>
        <w:jc w:val="both"/>
        <w:rPr>
          <w:rFonts w:ascii="Times New Roman" w:hAnsi="Times New Roman" w:cs="Times New Roman"/>
          <w:sz w:val="20"/>
          <w:szCs w:val="20"/>
        </w:rPr>
      </w:pPr>
    </w:p>
    <w:p w:rsidR="003C0C73" w:rsidRPr="00201A0D" w:rsidRDefault="003C0C73" w:rsidP="003C0C73">
      <w:pPr>
        <w:spacing w:after="0"/>
        <w:jc w:val="both"/>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Таблица 8.1.1.</w:t>
      </w:r>
    </w:p>
    <w:tbl>
      <w:tblPr>
        <w:tblW w:w="0" w:type="auto"/>
        <w:tblInd w:w="94" w:type="dxa"/>
        <w:tblLook w:val="04A0"/>
      </w:tblPr>
      <w:tblGrid>
        <w:gridCol w:w="1338"/>
        <w:gridCol w:w="1755"/>
        <w:gridCol w:w="898"/>
        <w:gridCol w:w="855"/>
        <w:gridCol w:w="699"/>
        <w:gridCol w:w="681"/>
        <w:gridCol w:w="808"/>
        <w:gridCol w:w="765"/>
        <w:gridCol w:w="656"/>
        <w:gridCol w:w="1022"/>
      </w:tblGrid>
      <w:tr w:rsidR="00201A0D" w:rsidRPr="00201A0D" w:rsidTr="003C0C73">
        <w:trPr>
          <w:cantSplit/>
          <w:trHeight w:val="270"/>
          <w:tblHeader/>
        </w:trPr>
        <w:tc>
          <w:tcPr>
            <w:tcW w:w="0" w:type="auto"/>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Потребитель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3C0C73" w:rsidRDefault="00201A0D" w:rsidP="00201A0D">
            <w:pPr>
              <w:spacing w:after="0"/>
              <w:rPr>
                <w:rFonts w:ascii="Times New Roman" w:hAnsi="Times New Roman" w:cs="Times New Roman"/>
                <w:sz w:val="18"/>
                <w:szCs w:val="18"/>
              </w:rPr>
            </w:pPr>
            <w:r w:rsidRPr="003C0C73">
              <w:rPr>
                <w:rFonts w:ascii="Times New Roman" w:hAnsi="Times New Roman" w:cs="Times New Roman"/>
                <w:sz w:val="18"/>
                <w:szCs w:val="18"/>
              </w:rPr>
              <w:t>Ед-ца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201A0D" w:rsidRPr="003C0C73" w:rsidRDefault="00201A0D" w:rsidP="00201A0D">
            <w:pPr>
              <w:spacing w:after="0"/>
              <w:rPr>
                <w:rFonts w:ascii="Times New Roman" w:hAnsi="Times New Roman" w:cs="Times New Roman"/>
                <w:sz w:val="18"/>
                <w:szCs w:val="18"/>
              </w:rPr>
            </w:pPr>
            <w:r w:rsidRPr="003C0C73">
              <w:rPr>
                <w:rFonts w:ascii="Times New Roman" w:hAnsi="Times New Roman" w:cs="Times New Roman"/>
                <w:sz w:val="18"/>
                <w:szCs w:val="18"/>
              </w:rPr>
              <w:t>Кол-во</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3C0C73" w:rsidRDefault="00201A0D" w:rsidP="00201A0D">
            <w:pPr>
              <w:spacing w:after="0"/>
              <w:rPr>
                <w:rFonts w:ascii="Times New Roman" w:hAnsi="Times New Roman" w:cs="Times New Roman"/>
                <w:sz w:val="18"/>
                <w:szCs w:val="18"/>
              </w:rPr>
            </w:pPr>
            <w:r w:rsidRPr="003C0C73">
              <w:rPr>
                <w:rFonts w:ascii="Times New Roman" w:hAnsi="Times New Roman" w:cs="Times New Roman"/>
                <w:sz w:val="18"/>
                <w:szCs w:val="18"/>
              </w:rPr>
              <w:t>Средне суточн. норма на ед. изм.</w:t>
            </w:r>
          </w:p>
        </w:tc>
        <w:tc>
          <w:tcPr>
            <w:tcW w:w="0" w:type="auto"/>
            <w:gridSpan w:val="4"/>
            <w:tcBorders>
              <w:top w:val="single" w:sz="4" w:space="0" w:color="auto"/>
              <w:left w:val="nil"/>
              <w:bottom w:val="single" w:sz="4" w:space="0" w:color="auto"/>
              <w:right w:val="single" w:sz="4" w:space="0" w:color="auto"/>
            </w:tcBorders>
            <w:shd w:val="clear" w:color="FFFFCC" w:fill="FFFFFF"/>
            <w:noWrap/>
            <w:vAlign w:val="center"/>
            <w:hideMark/>
          </w:tcPr>
          <w:p w:rsidR="00201A0D" w:rsidRPr="003C0C73" w:rsidRDefault="00201A0D" w:rsidP="00201A0D">
            <w:pPr>
              <w:spacing w:after="0"/>
              <w:rPr>
                <w:rFonts w:ascii="Times New Roman" w:hAnsi="Times New Roman" w:cs="Times New Roman"/>
                <w:sz w:val="18"/>
                <w:szCs w:val="18"/>
              </w:rPr>
            </w:pPr>
            <w:r w:rsidRPr="003C0C73">
              <w:rPr>
                <w:rFonts w:ascii="Times New Roman" w:hAnsi="Times New Roman" w:cs="Times New Roman"/>
                <w:sz w:val="18"/>
                <w:szCs w:val="18"/>
              </w:rPr>
              <w:t>Водопотребление</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3C0C73" w:rsidRDefault="00201A0D" w:rsidP="00201A0D">
            <w:pPr>
              <w:spacing w:after="0"/>
              <w:rPr>
                <w:rFonts w:ascii="Times New Roman" w:hAnsi="Times New Roman" w:cs="Times New Roman"/>
                <w:sz w:val="18"/>
                <w:szCs w:val="18"/>
              </w:rPr>
            </w:pPr>
            <w:r w:rsidRPr="003C0C73">
              <w:rPr>
                <w:rFonts w:ascii="Times New Roman" w:hAnsi="Times New Roman" w:cs="Times New Roman"/>
                <w:sz w:val="18"/>
                <w:szCs w:val="18"/>
              </w:rPr>
              <w:t>Примечание</w:t>
            </w:r>
          </w:p>
        </w:tc>
      </w:tr>
      <w:tr w:rsidR="00201A0D" w:rsidRPr="00201A0D" w:rsidTr="003C0C73">
        <w:trPr>
          <w:cantSplit/>
          <w:trHeight w:val="912"/>
          <w:tblHeader/>
        </w:trPr>
        <w:tc>
          <w:tcPr>
            <w:tcW w:w="0" w:type="auto"/>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расхода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w:t>
            </w:r>
            <w:r w:rsidRPr="00201A0D">
              <w:rPr>
                <w:rFonts w:ascii="Times New Roman" w:hAnsi="Times New Roman" w:cs="Times New Roman"/>
                <w:sz w:val="20"/>
                <w:szCs w:val="20"/>
              </w:rPr>
              <w:br/>
              <w:t>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Годовое</w:t>
            </w:r>
            <w:r w:rsidRPr="00201A0D">
              <w:rPr>
                <w:rFonts w:ascii="Times New Roman" w:hAnsi="Times New Roman" w:cs="Times New Roman"/>
                <w:sz w:val="20"/>
                <w:szCs w:val="20"/>
              </w:rPr>
              <w:br/>
              <w:t>т.м³/год</w:t>
            </w: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час.</w:t>
            </w:r>
            <w:r w:rsidRPr="00201A0D">
              <w:rPr>
                <w:rFonts w:ascii="Times New Roman" w:hAnsi="Times New Roman" w:cs="Times New Roman"/>
                <w:sz w:val="20"/>
                <w:szCs w:val="20"/>
              </w:rPr>
              <w:br/>
              <w:t>м³/час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blHeader/>
        </w:trPr>
        <w:tc>
          <w:tcPr>
            <w:tcW w:w="0" w:type="auto"/>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Афанасово</w:t>
            </w:r>
          </w:p>
        </w:tc>
      </w:tr>
      <w:tr w:rsidR="00201A0D" w:rsidRPr="00201A0D" w:rsidTr="003C0C73">
        <w:trPr>
          <w:cantSplit/>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Бель</w:t>
            </w:r>
          </w:p>
        </w:tc>
      </w:tr>
      <w:tr w:rsidR="00201A0D" w:rsidRPr="00201A0D" w:rsidTr="003C0C73">
        <w:trPr>
          <w:cantSplit/>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w:t>
            </w:r>
            <w:r w:rsidR="00201A0D" w:rsidRPr="00201A0D">
              <w:rPr>
                <w:rFonts w:ascii="Times New Roman" w:hAnsi="Times New Roman" w:cs="Times New Roman"/>
                <w:sz w:val="20"/>
                <w:szCs w:val="20"/>
              </w:rPr>
              <w:t>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r>
      <w:tr w:rsidR="00201A0D" w:rsidRPr="00201A0D" w:rsidTr="003C0C73">
        <w:trPr>
          <w:cantSplit/>
          <w:trHeight w:val="270"/>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70"/>
        </w:trPr>
        <w:tc>
          <w:tcPr>
            <w:tcW w:w="0" w:type="auto"/>
            <w:vMerge w:val="restart"/>
            <w:tcBorders>
              <w:top w:val="nil"/>
              <w:left w:val="single" w:sz="4" w:space="0" w:color="auto"/>
              <w:bottom w:val="single" w:sz="4" w:space="0" w:color="000000"/>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298,73</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109,04</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388,36</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59,75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21,81</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59,75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15,34</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5,60</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93,35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373,82</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136,45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541,45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38,59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Кадетский корпус</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97,6</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35,62</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126,88</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20,62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471,42</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172,07</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668,33</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Ванютино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Существующее полож</w:t>
            </w:r>
            <w:r w:rsidR="003C0C73">
              <w:rPr>
                <w:rFonts w:ascii="Times New Roman" w:hAnsi="Times New Roman" w:cs="Times New Roman"/>
                <w:sz w:val="20"/>
                <w:szCs w:val="20"/>
              </w:rPr>
              <w:t>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Гвоздки</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6,69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21,42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20,62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29,87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202,56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73,93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263,33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26,96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40,51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14,79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40,51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63,30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92,52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367,14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252,96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328,85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31,71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50,59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50,59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79,05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115,54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458,49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Зелёная Роща</w:t>
            </w:r>
          </w:p>
        </w:tc>
      </w:tr>
      <w:tr w:rsidR="00201A0D" w:rsidRPr="00201A0D" w:rsidTr="003C0C73">
        <w:trPr>
          <w:cantSplit/>
          <w:trHeight w:val="255"/>
        </w:trPr>
        <w:tc>
          <w:tcPr>
            <w:tcW w:w="0" w:type="auto"/>
            <w:vMerge w:val="restart"/>
            <w:tcBorders>
              <w:top w:val="nil"/>
              <w:left w:val="single" w:sz="4" w:space="0" w:color="auto"/>
              <w:bottom w:val="single" w:sz="4" w:space="0" w:color="000000"/>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ПНИ "Добывалово"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49,23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17,97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67,85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000000"/>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22,22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32,19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ПНИ "Добывалово"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49,70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3C0C73">
        <w:trPr>
          <w:cantSplit/>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71,92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Костелёво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Существующее </w:t>
            </w:r>
            <w:r w:rsidR="003C0C73">
              <w:rPr>
                <w:rFonts w:ascii="Times New Roman" w:hAnsi="Times New Roman" w:cs="Times New Roman"/>
                <w:sz w:val="20"/>
                <w:szCs w:val="20"/>
              </w:rPr>
              <w:lastRenderedPageBreak/>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Макушино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w:t>
            </w:r>
            <w:r w:rsidR="003C0C73">
              <w:rPr>
                <w:rFonts w:ascii="Times New Roman" w:hAnsi="Times New Roman" w:cs="Times New Roman"/>
                <w:sz w:val="20"/>
                <w:szCs w:val="20"/>
              </w:rPr>
              <w:t>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Марково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w:t>
            </w:r>
            <w:r w:rsidRPr="00201A0D">
              <w:rPr>
                <w:rFonts w:ascii="Times New Roman" w:hAnsi="Times New Roman" w:cs="Times New Roman"/>
                <w:sz w:val="20"/>
                <w:szCs w:val="20"/>
              </w:rPr>
              <w:lastRenderedPageBreak/>
              <w:t>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17,69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10,82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Новинка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Плав</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Речка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Существующее </w:t>
            </w:r>
            <w:r w:rsidR="003C0C73">
              <w:rPr>
                <w:rFonts w:ascii="Times New Roman" w:hAnsi="Times New Roman" w:cs="Times New Roman"/>
                <w:sz w:val="20"/>
                <w:szCs w:val="20"/>
              </w:rPr>
              <w:lastRenderedPageBreak/>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Рядчино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w:t>
            </w:r>
            <w:r w:rsidR="003C0C73">
              <w:rPr>
                <w:rFonts w:ascii="Times New Roman" w:hAnsi="Times New Roman" w:cs="Times New Roman"/>
                <w:sz w:val="20"/>
                <w:szCs w:val="20"/>
              </w:rPr>
              <w:t>ествующее 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Селище</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w:t>
            </w:r>
            <w:r w:rsidRPr="00201A0D">
              <w:rPr>
                <w:rFonts w:ascii="Times New Roman" w:hAnsi="Times New Roman" w:cs="Times New Roman"/>
                <w:sz w:val="20"/>
                <w:szCs w:val="20"/>
              </w:rPr>
              <w:lastRenderedPageBreak/>
              <w:t>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Старина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Старово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Существующее </w:t>
            </w:r>
            <w:r w:rsidR="003C0C73">
              <w:rPr>
                <w:rFonts w:ascii="Times New Roman" w:hAnsi="Times New Roman" w:cs="Times New Roman"/>
                <w:sz w:val="20"/>
                <w:szCs w:val="20"/>
              </w:rPr>
              <w:lastRenderedPageBreak/>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8,70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Труфаново</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Харитониха</w:t>
            </w: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3C0C73" w:rsidP="00201A0D">
            <w:pPr>
              <w:spacing w:after="0"/>
              <w:rPr>
                <w:rFonts w:ascii="Times New Roman" w:hAnsi="Times New Roman" w:cs="Times New Roman"/>
                <w:sz w:val="20"/>
                <w:szCs w:val="20"/>
              </w:rPr>
            </w:pPr>
            <w:r>
              <w:rPr>
                <w:rFonts w:ascii="Times New Roman" w:hAnsi="Times New Roman" w:cs="Times New Roman"/>
                <w:sz w:val="20"/>
                <w:szCs w:val="20"/>
              </w:rPr>
              <w:t>Существующее 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cantSplit/>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2"/>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существующее: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1954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323,65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120,77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486,62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rPr>
        <w:tc>
          <w:tcPr>
            <w:tcW w:w="0" w:type="auto"/>
            <w:gridSpan w:val="2"/>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перспективное: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947,78</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345,95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1350,93</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 Количество расчётных дней в году: 365 - для населения; 120 - для полива (частота полива 1раз в 2 дня).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 СП 31.13330.2012 «Водоснабжение. Наружные сети и сооружения».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 СП 32.13330.2012 «Канализация. Наружные сети и сооружения».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4. 160 л/сут на человека - среднесуточная норма водопотребления, принята в соответствии с СП 31.13330.2012 п. 5.1, табл. 1 и признана международным сообществом достаточной для удовлетворения </w:t>
      </w:r>
      <w:r w:rsidRPr="00201A0D">
        <w:rPr>
          <w:rFonts w:ascii="Times New Roman" w:hAnsi="Times New Roman" w:cs="Times New Roman"/>
          <w:sz w:val="20"/>
          <w:szCs w:val="20"/>
        </w:rPr>
        <w:lastRenderedPageBreak/>
        <w:t>физиологических потребностей человека (журнал «Сантехника» №2 за 2009 г., издательство «АВОК-ПРЕСС» стр.15);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 42 м3/сут - среднесуточное водопотребление, принято в соответствии с табл. 3 стр. 16 НМ-37-81, Москва 1981г</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Расходы воды на пожаротушение приняты по СП 8.13330.2009, 31.13330.2012, 118.13330.2012 и составляют:</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на наружное – 10 л/с (застройка зданиями 3 этажа и выше, независимо от их степени огнестойкости, при числе жителей в населённом пункте не более 5000 чел);</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на внутреннее – 2 х 2,5 + 2 х 5 = 15 л/с (действующий дом культуры).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Время тушения пожара – в течение трёх часов, количество пожаров - 1.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гарантированного водоснабжения проектом предусматривается: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в качестве источника водоснабжения использовать все пять артезианских скважин в режиме 4 рабочие и одна резервная;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единой кольцевой водопроводной сети Ø 160 ÷ 110 мм;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дальнейшее использование четырёх водонапорных башен Рожновского;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на сети новой водонапорной башни Рожновского с объёмом бака 50 м3 и высотой ствола 15 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Водозаборные и водопроводные сооружения должны иметь зону санитарной охраны в соответствии с СанПиН 2.1.4.1110-02.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Водопроводная сеть планируется Ø 160 ÷ 63 мм из полиэтиленовых труб ПЭ100 SDR17 ГОСТ 18599-2001.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 кольцевой сети предусматривается устройство колодцев из сборных ж/б элементов по ТПР 901-09-11.84 для установки в них пожарных гидрантов с радиусом действия 100 ÷ 150 м и отключающей арматуры.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жилой застройки, водоснабжение которой осуществляется от тупиковых участков водопроводной сети, проектом предусматривается обеспечение наружного пожаротушения от парных противопожарных резервуаров закрытого типа, общей ёмкостью 108 м3. Резервуары оснащены водоприемными колодцами для возможности применения мотопомп, а также разворотными площадками 12 х 12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100 ÷ 150 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Жилые дома, имеющие водопровод, рекомендуется оснащать индивидуальными устройствами внутриквартирного пожаротушения.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учёта водопотребления и рационального использования воды проектом предлагается устройство водомерных узлов в каждом здании, оборудованном внутренним водопроводом, в соответствии с гл.7.2 п.7.2.1 СП 30.13330.2012.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Водомерным узлом планируется также оснастить действующие артезианские скважины.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расходы воды приведены в таблицах 8.1.1, 8.1.2.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Схема водоснабжения с. Едрово приведена на карте «Карта планируемого размещения объектов местного значения Едровского сельского поселения М 1:25 000. Фрагмент 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8.1.2.</w:t>
      </w:r>
    </w:p>
    <w:tbl>
      <w:tblPr>
        <w:tblW w:w="0" w:type="auto"/>
        <w:tblInd w:w="94" w:type="dxa"/>
        <w:tblLook w:val="04A0"/>
      </w:tblPr>
      <w:tblGrid>
        <w:gridCol w:w="882"/>
        <w:gridCol w:w="1838"/>
        <w:gridCol w:w="1015"/>
        <w:gridCol w:w="889"/>
        <w:gridCol w:w="781"/>
        <w:gridCol w:w="715"/>
        <w:gridCol w:w="840"/>
        <w:gridCol w:w="678"/>
        <w:gridCol w:w="680"/>
        <w:gridCol w:w="1159"/>
      </w:tblGrid>
      <w:tr w:rsidR="00201A0D" w:rsidRPr="00201A0D" w:rsidTr="003E53A7">
        <w:trPr>
          <w:cantSplit/>
          <w:trHeight w:val="24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Потребитель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Средне суточн. норма на ед. изм.</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Водопотребление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Примечание</w:t>
            </w:r>
          </w:p>
        </w:tc>
      </w:tr>
      <w:tr w:rsidR="00201A0D" w:rsidRPr="00201A0D" w:rsidTr="003E53A7">
        <w:trPr>
          <w:cantSplit/>
          <w:trHeight w:val="87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квартала</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расхода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Годовое</w:t>
            </w:r>
            <w:r w:rsidRPr="00201A0D">
              <w:rPr>
                <w:rFonts w:ascii="Times New Roman" w:hAnsi="Times New Roman" w:cs="Times New Roman"/>
                <w:sz w:val="20"/>
                <w:szCs w:val="20"/>
              </w:rPr>
              <w:br/>
              <w:t>т.м³/год</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час.</w:t>
            </w:r>
            <w:r w:rsidRPr="00201A0D">
              <w:rPr>
                <w:rFonts w:ascii="Times New Roman" w:hAnsi="Times New Roman" w:cs="Times New Roman"/>
                <w:sz w:val="20"/>
                <w:szCs w:val="20"/>
              </w:rPr>
              <w:br/>
              <w:t>м³/час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cantSplit/>
          <w:trHeight w:val="248"/>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3E53A7">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10,82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E53A7">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48"/>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18,71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Расходы воды на пожаротушение приняты по СП 8.13330.2009, 31.13330.2012, 118.13330.2012 и составляют:</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на наружное – 10 л/с (застройка зданиями 3 этажа и выше, независимо от их степени огнестойкости, при числе жителей в населённом пункте не более 5000 чел);</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на внутреннее – 2 х 2,5 + 2 х 5 = 15 л/с.</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Время тушения пожара – в течение трёх часов, количество пожаров 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гарантированного водоснабжения проектом предусматривается: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семи скважин с ожидаемым дебитом 2,0 л/с и глубиной до 80 м, пять из которых будет рабочими, а две - резервными;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площадки водопроводных сооружений с размещением на ней трёх резервуаров чистой воды объёмом 200 м3 каждый и насосной станции второго подъёма (q = 150 м3/час, Н = 45 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водонапорной башни Рожновского (V = 15 м3, Н = 12 м) для снятия пиковых нагрузок в течение суток;</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устройство кольцевой водопроводной сети Ø 160 ÷ 110 мм.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Проектируемую водопроводную сеть предлагается выполнить кольцевой из полиэтиленовых труб ПЭ100 SDR17 Ø 160 ÷ 110 мм согласно ГОСТ 18599-2001. На сети предусматривается устройство колодцев из сборных ж/б элементов по ТПР 91-09-11.84 для установки отключающей арматуры и пожарных гидрантов.</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жилой застройки, водоснабжение которой осуществляется от тупиковых участков водопроводной сети, проектом предусматривается обеспечение наружного пожаротушения от оз. Стреглино. Местоположение разворотных площадок принято из условия обслуживания ими зданий и сооружений в радиусе 100 ÷ 150 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Жилые дома, имеющие водопровод, рекомендуется оснащать индивидуальными устройствами внутриквартирного пожаротушения.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учёта водопотребления и рационального использования воды проектом предлагается устройство водомерных узлов в каждом здании, оборудованном внутренним водопроводом, в соответствии с гл.7.2 п.7.2.1 СП 30.13330.2012.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Водомерными узлами планируется также оснастить планируемые артезианские скважины и насосную станцию второго подъёма.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Водозаборные и водопроводные сооружения должны иметь зоны санитарной охраны трех поясов в соответствии с СанПиН 2.1.4.1110-02, для каждого из которых организацией-проектировщиком разрабатывается комплекс мероприятий по защите и определяются его границы.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расходы воды приведены в таблице 8.1.1.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Схема водоснабжения д. Большое Носакино приведена на карте «Карта планируемого размещения объектов местного значения Едровского сельского поселения М 1:25 000».</w:t>
      </w: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Расходы воды на наружное пожаротушение приняты по СП 8.13330.2009 и составляют 10 л/с.</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Время тушения пожара – в течение трёх часов, количество пожаров 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гарантированного водоснабжения проектом предусматривается: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двух скважин с ожидаемым дебитом 2,0 л/с и глубиной до 80 м, одна из которых будет рабочей, а другая резервной (ожидаемая водоотдача и глубина скважин приняты по аналогии с действующими скважинами 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водонапорной башни (V = 15 м3, Н = 12 м) для снятия пиковых нагрузок в течение суток;</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устройство тупиковой водопроводной сети Ø 90÷63 мм.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Проектируемую тупиковую водопроводную сеть предлагается выполнить из полиэтиленовых труб ПЭ100 SDR17 Ø 90 ÷ 63 мм, согласно ГОСТ 18599-2001. На сети предусматривается устройство колодцев из сборных ж/б элементов по ТПР 91-09-11.84 для установки отключающей арматуры.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учёта расхода воды проектом предусматривается устройство водомерных узлов в каждом здании, оборудованном внутренним водопроводом.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Водомерным узлом планируется также оснастить проектируемые артезианские скважины.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Проектом предусматривается обеспечение наружного пожаротушения от парных противопожарных резервуаров закрытого типа, общей ёмкостью 108 м3. Резервуары оснащены водоприемными колодцами для возможности применения мотопомп, а также разворотными площадками 12 х 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200 ÷ 150 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Для внутреннего пожаротушения проектом рекомендуется оснащать жилые дома индивидуальными устройствами внутриквартирного пожаротушения.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Водозаборные и водопроводные сооружения должны иметь зоны санитарной охраны трех поясов в соответствии с СанПиН 2.1.4.1110-02, для каждого из которых организацией-проектировщиком разрабатывается комплекс мероприятий по защите и определены его границы.</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расходы воды приведены в таблице 8.1.1.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Схема водоснабжения д. Новая Ситенка приведена на карте «Карта планируемого размещения объектов местного значения Едровского сельского поселения М 1:25 000. Фрагмент 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Д. Афанасово, д. Бель, д. Ванютино, д. Гвоздки, д. Добывалово, д. Зелёная Роща, д. Костелёво, д. Красилово, д. Макушино, д. Марково, д. Наволок, д. Новинка, д. Плав, д. Речка, д. Рядчино, д. Селище, д. Семёнова Гора, д. Среднее Носакино, д. Старая Ситенка, д. Старина, д. Старово, д. Труфаново, д. Харитониха.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Водоснабжение д. Зелёная Роща остаётся без изменений.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Проектом предусматривается водоснабжение жилой застройки остальных населённых пунктов от индивидуальных шахтных колодцев, оснащенных насосными установками погружного или всасывающего типа, рассчитываемых от количества человек, населяющего каждый конкретный дом.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Для обеспечения населения водой питьевого качества рекомендуется устройство индивидуальных угольных фильтров со сменной загрузкой.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Расходы воды на наружное пожаротушение приняты по СП 8.13330.2009 и составляют 1 л/с.</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Время тушения пожара – в течение трёх часов, количество пожаров 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Проектом предусматривается обеспечение наружного пожаротушения от парных противопожарных резервуаров закрытого типа, общей ёмкостью 108 м3. Резервуары оснащены водоприемными колодцами для возможности применения мотопомп, а также разворотными площадками 12 х 12 м для пожарной техники. Объем резервуаров принят ориентировочно из условия расхода воды на наружное пожаротушение 10 л/с и может быть уточнен при рабочем проектировании в соответствии с действительным строительным объемом возводимых зданий и сооружений.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100 ÷ 150 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расходы воды приведены в таблице 8.1.1.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Водоотведение.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настоящее время централизованные сети канализации имеются только в с. Едрово и ПНИ «Добывалово». Жилая застройка, общественные здания и здания коммунального назначения остальных населённых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настоящее время в районе ул. Сосновой действует централизованная система канализации. Бытовые сточные воды от многоквартирных жилых домов и зданий общественного и коммунального назначения системой самотечных коллекторов поступают в канализационную насосную станцию, которая имеет большую степень износа, и далее двумя напорными коллекторами диаметром 150 мм на общегородские канализационные очистные сооружения.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с. Едрово были построены биологические очистные сооружения производительностью 200 м3/сут, с доочисткой на биологических прудах. В настоящее время очистные сооружения не эксплуатируются, т. к. полностью пришли в негодность. В качестве полей фильтрации используются биологические пруды. Распределительной системы трубопроводов нет, сточные воды просто сливаются в пруды, что приводит к подтоплению и загрязнению площадки очистных. Далее сточные воды поступают в р. Едерка.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 проживающее в неканализованных районах города, пользуется надворными уборными с выгребами, с вывозом жидких нечистот на свалки в места, указанные органами санитарно-эпидемиологического надзора.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ПНИ «Добывалово»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Сточные воды от ПНИ «Добывалово» отводятся в септик, откуда периодически вывозятся в места указанные органами санитарно-эпидемиологического надзора.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Проектом предусматривается устройство двух автономных систем водоотведения с. Едрово для северной и южной его частей.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обеих системах сточные воды самотечными и напорными коллекторами отводятся на общепоселковые КОС, состоящие из двух блоков сооружений полной биологической очистки с доочисткой контейнерного типа марки Е-100М1БПФ фирмы «ЕКОС» производительностью 100 м3/сут. Очищенные и обеззараженные сточные воды отводятся самотечными коллекторами диаметром 200 мм на пониженные участки рельефа.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 размещении элементов систем водоотведения в водоохранной зоне проектом предусматривается: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"безраструбное" соединение отводящих трубопроводов;</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люки смотровых колодцев предусматриваются с водонепроницаемыми уплотнителями;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использование в конструкциях канализационных колодцев и насосных станций водонепроницаемых бетонов марки не ниже W6;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нанесение на все бетонные и железобетонные конструкции гидроизоляции, выполненной по технологии "Пенетрон".</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расходы водопотребления и водоотведения приведены в таблицах 8.1.4, 8.1.5.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Схема водоотведения с. Едрово приведена на карте «Карта планируемого размещения объектов местного значения Едровского сельского поселения М 1:25 000. Фрагмент 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8.1.4.</w:t>
      </w:r>
    </w:p>
    <w:tbl>
      <w:tblPr>
        <w:tblW w:w="0" w:type="auto"/>
        <w:tblInd w:w="94" w:type="dxa"/>
        <w:tblLook w:val="04A0"/>
      </w:tblPr>
      <w:tblGrid>
        <w:gridCol w:w="1307"/>
        <w:gridCol w:w="1710"/>
        <w:gridCol w:w="952"/>
        <w:gridCol w:w="836"/>
        <w:gridCol w:w="736"/>
        <w:gridCol w:w="667"/>
        <w:gridCol w:w="791"/>
        <w:gridCol w:w="749"/>
        <w:gridCol w:w="644"/>
        <w:gridCol w:w="1085"/>
      </w:tblGrid>
      <w:tr w:rsidR="00201A0D" w:rsidRPr="00201A0D" w:rsidTr="003C0C73">
        <w:trPr>
          <w:cantSplit/>
          <w:trHeight w:val="270"/>
          <w:tblHeader/>
        </w:trPr>
        <w:tc>
          <w:tcPr>
            <w:tcW w:w="0" w:type="auto"/>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Потребитель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Кол-во</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Средне суточн. норма на ед. изм.</w:t>
            </w:r>
          </w:p>
        </w:tc>
        <w:tc>
          <w:tcPr>
            <w:tcW w:w="0" w:type="auto"/>
            <w:gridSpan w:val="4"/>
            <w:tcBorders>
              <w:top w:val="single" w:sz="4" w:space="0" w:color="auto"/>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Водоотведение</w:t>
            </w:r>
          </w:p>
        </w:tc>
        <w:tc>
          <w:tcPr>
            <w:tcW w:w="0" w:type="auto"/>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Примечание</w:t>
            </w:r>
          </w:p>
        </w:tc>
      </w:tr>
      <w:tr w:rsidR="00201A0D" w:rsidRPr="00201A0D" w:rsidTr="003C0C73">
        <w:trPr>
          <w:cantSplit/>
          <w:trHeight w:val="912"/>
          <w:tblHeader/>
        </w:trPr>
        <w:tc>
          <w:tcPr>
            <w:tcW w:w="0" w:type="auto"/>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расхода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w:t>
            </w:r>
            <w:r w:rsidRPr="00201A0D">
              <w:rPr>
                <w:rFonts w:ascii="Times New Roman" w:hAnsi="Times New Roman" w:cs="Times New Roman"/>
                <w:sz w:val="20"/>
                <w:szCs w:val="20"/>
              </w:rPr>
              <w:br/>
              <w:t>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Годовое</w:t>
            </w:r>
            <w:r w:rsidRPr="00201A0D">
              <w:rPr>
                <w:rFonts w:ascii="Times New Roman" w:hAnsi="Times New Roman" w:cs="Times New Roman"/>
                <w:sz w:val="20"/>
                <w:szCs w:val="20"/>
              </w:rPr>
              <w:br/>
              <w:t>т.м³/год</w:t>
            </w: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час.</w:t>
            </w:r>
            <w:r w:rsidRPr="00201A0D">
              <w:rPr>
                <w:rFonts w:ascii="Times New Roman" w:hAnsi="Times New Roman" w:cs="Times New Roman"/>
                <w:sz w:val="20"/>
                <w:szCs w:val="20"/>
              </w:rPr>
              <w:br/>
              <w:t>м³/час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blHeader/>
        </w:trPr>
        <w:tc>
          <w:tcPr>
            <w:tcW w:w="0" w:type="auto"/>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Афанасово</w:t>
            </w:r>
          </w:p>
        </w:tc>
      </w:tr>
      <w:tr w:rsidR="00201A0D" w:rsidRPr="00201A0D" w:rsidTr="003C0C73">
        <w:trPr>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Бель</w:t>
            </w:r>
          </w:p>
        </w:tc>
      </w:tr>
      <w:tr w:rsidR="00201A0D" w:rsidRPr="00201A0D" w:rsidTr="003C0C73">
        <w:trPr>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r>
      <w:tr w:rsidR="00201A0D" w:rsidRPr="00201A0D" w:rsidTr="003C0C73">
        <w:trPr>
          <w:trHeight w:val="270"/>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70"/>
        </w:trPr>
        <w:tc>
          <w:tcPr>
            <w:tcW w:w="0" w:type="auto"/>
            <w:vMerge w:val="restart"/>
            <w:tcBorders>
              <w:top w:val="nil"/>
              <w:left w:val="single" w:sz="4" w:space="0" w:color="auto"/>
              <w:bottom w:val="single" w:sz="4" w:space="0" w:color="000000"/>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Проектное </w:t>
            </w:r>
            <w:r w:rsidRPr="00201A0D">
              <w:rPr>
                <w:rFonts w:ascii="Times New Roman" w:hAnsi="Times New Roman" w:cs="Times New Roman"/>
                <w:sz w:val="20"/>
                <w:szCs w:val="20"/>
              </w:rPr>
              <w:lastRenderedPageBreak/>
              <w:t>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Хоз-питьевые </w:t>
            </w:r>
            <w:r w:rsidRPr="00201A0D">
              <w:rPr>
                <w:rFonts w:ascii="Times New Roman" w:hAnsi="Times New Roman" w:cs="Times New Roman"/>
                <w:sz w:val="20"/>
                <w:szCs w:val="20"/>
              </w:rPr>
              <w:lastRenderedPageBreak/>
              <w:t>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212,4</w:t>
            </w:r>
            <w:r w:rsidRPr="00201A0D">
              <w:rPr>
                <w:rFonts w:ascii="Times New Roman" w:hAnsi="Times New Roman" w:cs="Times New Roman"/>
                <w:sz w:val="20"/>
                <w:szCs w:val="20"/>
              </w:rPr>
              <w:lastRenderedPageBreak/>
              <w:t>0</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77,53</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276,1</w:t>
            </w:r>
            <w:r w:rsidRPr="00201A0D">
              <w:rPr>
                <w:rFonts w:ascii="Times New Roman" w:hAnsi="Times New Roman" w:cs="Times New Roman"/>
                <w:sz w:val="20"/>
                <w:szCs w:val="20"/>
              </w:rPr>
              <w:lastRenderedPageBreak/>
              <w:t>2</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23,7</w:t>
            </w:r>
            <w:r w:rsidRPr="00201A0D">
              <w:rPr>
                <w:rFonts w:ascii="Times New Roman" w:hAnsi="Times New Roman" w:cs="Times New Roman"/>
                <w:sz w:val="20"/>
                <w:szCs w:val="20"/>
              </w:rPr>
              <w:lastRenderedPageBreak/>
              <w:t>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1,2,3,4</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25,49</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9,30</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25,49</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237,89</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86,83</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301,61</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Кадетский корпус</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97,60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126,88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20,62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335,49</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122,45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428,49</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Ванютино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Гвоздки</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Проектное </w:t>
            </w:r>
            <w:r w:rsidRPr="00201A0D">
              <w:rPr>
                <w:rFonts w:ascii="Times New Roman" w:hAnsi="Times New Roman" w:cs="Times New Roman"/>
                <w:sz w:val="20"/>
                <w:szCs w:val="20"/>
              </w:rPr>
              <w:lastRenderedPageBreak/>
              <w:t>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Хоз-питьевые </w:t>
            </w:r>
            <w:r w:rsidRPr="00201A0D">
              <w:rPr>
                <w:rFonts w:ascii="Times New Roman" w:hAnsi="Times New Roman" w:cs="Times New Roman"/>
                <w:sz w:val="20"/>
                <w:szCs w:val="20"/>
              </w:rPr>
              <w:lastRenderedPageBreak/>
              <w:t>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21,42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6,74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23,40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31,65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41,15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44,94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252,96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328,85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31,71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30,36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30,36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283,32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103,41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359,20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34,63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Зелёная Роща</w:t>
            </w:r>
          </w:p>
        </w:tc>
      </w:tr>
      <w:tr w:rsidR="00201A0D" w:rsidRPr="00201A0D" w:rsidTr="003C0C73">
        <w:trPr>
          <w:trHeight w:val="255"/>
        </w:trPr>
        <w:tc>
          <w:tcPr>
            <w:tcW w:w="0" w:type="auto"/>
            <w:vMerge w:val="restart"/>
            <w:tcBorders>
              <w:top w:val="nil"/>
              <w:left w:val="single" w:sz="4" w:space="0" w:color="auto"/>
              <w:bottom w:val="single" w:sz="4" w:space="0" w:color="000000"/>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ПНИ "Добывалово"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44,97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16,41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58,36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000000"/>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5,49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19,89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25,22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ПНИ "Добывалово"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49,70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3C0C73">
        <w:trPr>
          <w:trHeight w:val="255"/>
        </w:trPr>
        <w:tc>
          <w:tcPr>
            <w:tcW w:w="0" w:type="auto"/>
            <w:vMerge/>
            <w:tcBorders>
              <w:top w:val="nil"/>
              <w:left w:val="single" w:sz="4" w:space="0" w:color="auto"/>
              <w:bottom w:val="single" w:sz="4" w:space="0" w:color="000000"/>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69,59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25,40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89,83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16,31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Костелёво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lastRenderedPageBreak/>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Макушино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Марково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Проектное </w:t>
            </w:r>
            <w:r w:rsidRPr="00201A0D">
              <w:rPr>
                <w:rFonts w:ascii="Times New Roman" w:hAnsi="Times New Roman" w:cs="Times New Roman"/>
                <w:sz w:val="20"/>
                <w:szCs w:val="20"/>
              </w:rPr>
              <w:lastRenderedPageBreak/>
              <w:t>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 xml:space="preserve">Хоз-питьевые </w:t>
            </w:r>
            <w:r w:rsidRPr="00201A0D">
              <w:rPr>
                <w:rFonts w:ascii="Times New Roman" w:hAnsi="Times New Roman" w:cs="Times New Roman"/>
                <w:sz w:val="20"/>
                <w:szCs w:val="20"/>
              </w:rPr>
              <w:lastRenderedPageBreak/>
              <w:t>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10,93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13,86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Новинка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2,29</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1,97</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д. Плав</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Речка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Рядчино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Селище</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Неучтённые </w:t>
            </w:r>
            <w:r w:rsidRPr="00201A0D">
              <w:rPr>
                <w:rFonts w:ascii="Times New Roman" w:hAnsi="Times New Roman" w:cs="Times New Roman"/>
                <w:sz w:val="20"/>
                <w:szCs w:val="20"/>
              </w:rPr>
              <w:lastRenderedPageBreak/>
              <w:t>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E53A7">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w:t>
            </w:r>
            <w:r w:rsidRPr="00201A0D">
              <w:rPr>
                <w:rFonts w:ascii="Times New Roman" w:hAnsi="Times New Roman" w:cs="Times New Roman"/>
                <w:sz w:val="20"/>
                <w:szCs w:val="20"/>
              </w:rPr>
              <w:lastRenderedPageBreak/>
              <w:t>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Старина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Старово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Труфаново</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Харитониха</w:t>
            </w: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Существующее</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положение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50/25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vMerge w:val="restart"/>
            <w:tcBorders>
              <w:top w:val="nil"/>
              <w:left w:val="single" w:sz="4" w:space="0" w:color="auto"/>
              <w:bottom w:val="single" w:sz="4" w:space="0" w:color="auto"/>
              <w:right w:val="single" w:sz="4" w:space="0" w:color="auto"/>
            </w:tcBorders>
            <w:shd w:val="clear" w:color="FFFFCC" w:fill="FFFFFF"/>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55"/>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2"/>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существующее: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1954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92,26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33,54</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117,96</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10,93</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55"/>
        </w:trPr>
        <w:tc>
          <w:tcPr>
            <w:tcW w:w="0" w:type="auto"/>
            <w:gridSpan w:val="2"/>
            <w:tcBorders>
              <w:top w:val="nil"/>
              <w:left w:val="single" w:sz="4" w:space="0" w:color="auto"/>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перспективное:</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3998</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895,05</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325,96</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1137,51</w:t>
            </w:r>
          </w:p>
        </w:tc>
        <w:tc>
          <w:tcPr>
            <w:tcW w:w="0" w:type="auto"/>
            <w:tcBorders>
              <w:top w:val="nil"/>
              <w:left w:val="nil"/>
              <w:bottom w:val="single" w:sz="4" w:space="0" w:color="auto"/>
              <w:right w:val="single" w:sz="4" w:space="0" w:color="auto"/>
            </w:tcBorders>
            <w:shd w:val="clear" w:color="FFFFCC" w:fill="FFFFFF"/>
            <w:noWrap/>
            <w:vAlign w:val="bottom"/>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88,42</w:t>
            </w:r>
          </w:p>
        </w:tc>
        <w:tc>
          <w:tcPr>
            <w:tcW w:w="0" w:type="auto"/>
            <w:tcBorders>
              <w:top w:val="nil"/>
              <w:left w:val="nil"/>
              <w:bottom w:val="single" w:sz="4" w:space="0" w:color="auto"/>
              <w:right w:val="single" w:sz="4" w:space="0" w:color="auto"/>
            </w:tcBorders>
            <w:shd w:val="clear" w:color="FFFFCC" w:fill="FFFFFF"/>
            <w:noWrap/>
            <w:vAlign w:val="center"/>
            <w:hideMark/>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 Количество расчётных дней в году: 365 - для населения; 120 - для полива (частота полива 1раз в 2 дня).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 СП 31.13330.2012 «Водоснабжение. Наружные сети и сооружения».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 СП 32.13330.2012 «Канализация. Наружные сети и сооружения».</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 160 л/сут на человека - среднесуточная норма водопотребления, принята в соответствии с СП 31.13330.2012 п. 5.1, табл. 1 и признана международным сообществом достаточной для удовлетворения физиологических потребностей человека (журнал «Сантехника» №2 за 2009 г., издательство «АВОК-ПРЕСС» стр.15);</w:t>
      </w: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8.1.5.</w:t>
      </w:r>
    </w:p>
    <w:tbl>
      <w:tblPr>
        <w:tblW w:w="0" w:type="auto"/>
        <w:tblInd w:w="94" w:type="dxa"/>
        <w:tblLook w:val="04A0"/>
      </w:tblPr>
      <w:tblGrid>
        <w:gridCol w:w="877"/>
        <w:gridCol w:w="1828"/>
        <w:gridCol w:w="1010"/>
        <w:gridCol w:w="885"/>
        <w:gridCol w:w="777"/>
        <w:gridCol w:w="756"/>
        <w:gridCol w:w="837"/>
        <w:gridCol w:w="676"/>
        <w:gridCol w:w="677"/>
        <w:gridCol w:w="1154"/>
      </w:tblGrid>
      <w:tr w:rsidR="00201A0D" w:rsidRPr="00201A0D" w:rsidTr="003C0C73">
        <w:trPr>
          <w:cantSplit/>
          <w:trHeight w:val="24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Потребитель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Средне суточн. норма на ед. изм.</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Водоотведение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Примечание</w:t>
            </w:r>
          </w:p>
        </w:tc>
      </w:tr>
      <w:tr w:rsidR="00201A0D" w:rsidRPr="00201A0D" w:rsidTr="003C0C73">
        <w:trPr>
          <w:cantSplit/>
          <w:trHeight w:val="87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квартала</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расхода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Годовое</w:t>
            </w:r>
            <w:r w:rsidRPr="00201A0D">
              <w:rPr>
                <w:rFonts w:ascii="Times New Roman" w:hAnsi="Times New Roman" w:cs="Times New Roman"/>
                <w:sz w:val="20"/>
                <w:szCs w:val="20"/>
              </w:rPr>
              <w:br/>
              <w:t>т.м³/год</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сут.</w:t>
            </w:r>
            <w:r w:rsidRPr="00201A0D">
              <w:rPr>
                <w:rFonts w:ascii="Times New Roman" w:hAnsi="Times New Roman" w:cs="Times New Roman"/>
                <w:sz w:val="20"/>
                <w:szCs w:val="20"/>
              </w:rPr>
              <w:br/>
              <w:t>м³/сут</w:t>
            </w:r>
          </w:p>
        </w:tc>
        <w:tc>
          <w:tcPr>
            <w:tcW w:w="0" w:type="auto"/>
            <w:tcBorders>
              <w:top w:val="nil"/>
              <w:left w:val="nil"/>
              <w:bottom w:val="single" w:sz="4" w:space="0" w:color="auto"/>
              <w:right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Макс.</w:t>
            </w:r>
            <w:r w:rsidRPr="00201A0D">
              <w:rPr>
                <w:rFonts w:ascii="Times New Roman" w:hAnsi="Times New Roman" w:cs="Times New Roman"/>
                <w:sz w:val="20"/>
                <w:szCs w:val="20"/>
              </w:rPr>
              <w:br/>
              <w:t>час.</w:t>
            </w:r>
            <w:r w:rsidRPr="00201A0D">
              <w:rPr>
                <w:rFonts w:ascii="Times New Roman" w:hAnsi="Times New Roman" w:cs="Times New Roman"/>
                <w:sz w:val="20"/>
                <w:szCs w:val="20"/>
              </w:rPr>
              <w:br/>
              <w:t>м³/час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48"/>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r>
      <w:tr w:rsidR="00201A0D" w:rsidRPr="00201A0D" w:rsidTr="003C0C73">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10,82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Неучтённые </w:t>
            </w:r>
            <w:r w:rsidRPr="00201A0D">
              <w:rPr>
                <w:rFonts w:ascii="Times New Roman" w:hAnsi="Times New Roman" w:cs="Times New Roman"/>
                <w:sz w:val="20"/>
                <w:szCs w:val="20"/>
              </w:rPr>
              <w:lastRenderedPageBreak/>
              <w:t>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w:t>
            </w:r>
            <w:r w:rsidRPr="00201A0D">
              <w:rPr>
                <w:rFonts w:ascii="Times New Roman" w:hAnsi="Times New Roman" w:cs="Times New Roman"/>
                <w:sz w:val="20"/>
                <w:szCs w:val="20"/>
              </w:rPr>
              <w:lastRenderedPageBreak/>
              <w:t>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9,32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4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Хоз-питьевые нужды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1,2,3,4</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Неучтённые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20,0/12,0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1,19</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1,2,3</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Полив</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r>
      <w:tr w:rsidR="00201A0D" w:rsidRPr="00201A0D" w:rsidTr="003C0C73">
        <w:trPr>
          <w:trHeight w:val="248"/>
        </w:trPr>
        <w:tc>
          <w:tcPr>
            <w:tcW w:w="0" w:type="auto"/>
            <w:vMerge/>
            <w:tcBorders>
              <w:top w:val="nil"/>
              <w:left w:val="single" w:sz="4" w:space="0" w:color="auto"/>
              <w:bottom w:val="single" w:sz="4" w:space="0" w:color="auto"/>
              <w:right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11,11</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14,44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trHeight w:val="248"/>
        </w:trPr>
        <w:tc>
          <w:tcPr>
            <w:tcW w:w="0" w:type="auto"/>
            <w:gridSpan w:val="2"/>
            <w:tcBorders>
              <w:top w:val="nil"/>
              <w:left w:val="single" w:sz="4" w:space="0" w:color="auto"/>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45,88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16,74</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59,52</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10,38</w:t>
            </w:r>
          </w:p>
        </w:tc>
        <w:tc>
          <w:tcPr>
            <w:tcW w:w="0" w:type="auto"/>
            <w:tcBorders>
              <w:top w:val="nil"/>
              <w:left w:val="nil"/>
              <w:bottom w:val="single" w:sz="4" w:space="0" w:color="auto"/>
              <w:right w:val="single" w:sz="4" w:space="0" w:color="auto"/>
            </w:tcBorders>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Проектом предусматривается устройство единой схемы водоотведения д. Большое Носакино, согласно которой сточные воды системой самотечно-напорных коллекторов отводятся в общепоселковую канализационную насосную станцию и далее на общепоселковые канализационные очистные сооружения полной биологической очистки с доочисткой контейнерного типа марки Е-700 фирмы «ЕКОС» производительностью 700 м3/сут (индивидуальный проект).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Очищенные и обеззараженные сточные воды отводятся самотечным коллектором диаметром 200 мм на пониженные участки рельефа к северу от деревни.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размещении элементов систем водоотведения в водоохранной зоне проектом предусматривается: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"безраструбное" соединение отводящих трубопроводов;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люки смотровых колодцев предусматриваются с водонепроницаемыми уплотнителями;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использование в конструкциях канализационных колодцев и насосных станций водонепроницаемых бетонов марки не ниже W6;</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нанесение на все бетонные и железобетонные конструкции гидроизоляции, выполненной по технологии "Пенетрон".</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Расчетные расходы приведены в таблице 8.1.4.</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водоотведения д. Большое Носакино приведена на карте «Карта планируемого размещения объектов местного значения Едровского сельского поселения М 1:25 000».</w:t>
      </w:r>
    </w:p>
    <w:p w:rsidR="00201A0D" w:rsidRPr="00201A0D" w:rsidRDefault="00201A0D" w:rsidP="003C0C73">
      <w:pPr>
        <w:spacing w:after="0"/>
        <w:jc w:val="both"/>
        <w:rPr>
          <w:rFonts w:ascii="Times New Roman" w:hAnsi="Times New Roman" w:cs="Times New Roman"/>
          <w:sz w:val="20"/>
          <w:szCs w:val="20"/>
        </w:rPr>
      </w:pP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предусматривается устройство единой схемы водоотведения д. Зелёная Роща и ПНИ «Добывалово», согласно которой сточные воды системой самотечных коллекторов отводятся в общепоселковую канализационную насосную станцию и далее на общепоселковые канализационные очистные сооружения полной биологической очистки с доочисткой контейнерного типа марки Е-80 фирмы «ЕКОС» производительностью 80 м3/сут (индивидуальный проект).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Очищенные и обеззараженные сточные воды отводятся самотечным коллектором диаметром 200 мм на пониженные участки рельефа к северо-востоку от деревни.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Расчетные расходы приведены в таблице 8.1.4.</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водоотведения д. Зелёная Роща приведена на карте «Карта планируемого размещения объектов местного значения Едровского сельского поселения М 1:25 000. Фрагмент 4».</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 Афанасово, д. Бель, д. Ванютино, д. Гвоздки, д. Добывалово, д. Зелёная Роща, д. Костелёво, д. Красилово, д. Макушино, д. Марково, д. Наволок, д. Новая Ситенка, д. Новинка, д. Плав, д. Речка, д. Рядчино, д. Селище, д. Семёнова Гора, д. Среднее Носакино, д. Старая Ситенка, д. Старина, д. Старово, д. Труфаново, д. Харитониха.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предусматривается оснащение индивидуальных жилых домов в зоне существующей и планируемой жилой застройки индивидуальными локальными очистными сооружениями, не требующими фильтрующих траншей или полей фильтрации и обеспечивающими 98%-ную степень очистки, которая соответствует всем Российским нормативам по очищенной сточной воде. Производительность установки очистки сточных вод зависит от количества обслуживаемых лиц. Установка имеет все необходимые сертификаты и гигиенические заключения.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использовании установки индивидуальных локальных очистных сооружений не нужно использовать ассенизационную машину, отсутствует необходимость планировать подъезд к месту расположения установки, т.к. отвод очищенной воды может, осуществляется в дренажный колодец самотеком или на рельеф местности, или, по рекомендации производителя, использоваться для полива приусадебного участка.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Расчетные расходы приведены в таблице 8.1.4.</w:t>
      </w:r>
    </w:p>
    <w:p w:rsidR="00201A0D" w:rsidRPr="00201A0D" w:rsidRDefault="00201A0D" w:rsidP="003C0C73">
      <w:pPr>
        <w:spacing w:after="0"/>
        <w:jc w:val="both"/>
        <w:rPr>
          <w:rFonts w:ascii="Times New Roman" w:hAnsi="Times New Roman" w:cs="Times New Roman"/>
          <w:sz w:val="20"/>
          <w:szCs w:val="20"/>
        </w:rPr>
      </w:pPr>
      <w:bookmarkStart w:id="72" w:name="_Toc433382436"/>
      <w:r w:rsidRPr="00201A0D">
        <w:rPr>
          <w:rFonts w:ascii="Times New Roman" w:hAnsi="Times New Roman" w:cs="Times New Roman"/>
          <w:sz w:val="20"/>
          <w:szCs w:val="20"/>
        </w:rPr>
        <w:t>8.2. Теплоснабжение</w:t>
      </w:r>
      <w:bookmarkEnd w:id="71"/>
      <w:r w:rsidRPr="00201A0D">
        <w:rPr>
          <w:rFonts w:ascii="Times New Roman" w:hAnsi="Times New Roman" w:cs="Times New Roman"/>
          <w:sz w:val="20"/>
          <w:szCs w:val="20"/>
        </w:rPr>
        <w:t>.</w:t>
      </w:r>
      <w:bookmarkEnd w:id="72"/>
    </w:p>
    <w:p w:rsidR="00201A0D" w:rsidRPr="00201A0D" w:rsidRDefault="00201A0D" w:rsidP="003C0C73">
      <w:pPr>
        <w:spacing w:after="0"/>
        <w:jc w:val="both"/>
        <w:rPr>
          <w:rFonts w:ascii="Times New Roman" w:hAnsi="Times New Roman" w:cs="Times New Roman"/>
          <w:sz w:val="20"/>
          <w:szCs w:val="20"/>
        </w:rPr>
      </w:pPr>
      <w:bookmarkStart w:id="73" w:name="_Toc343149547"/>
      <w:r w:rsidRPr="00201A0D">
        <w:rPr>
          <w:rFonts w:ascii="Times New Roman" w:hAnsi="Times New Roman" w:cs="Times New Roman"/>
          <w:sz w:val="20"/>
          <w:szCs w:val="20"/>
        </w:rPr>
        <w:t>Настоящий раздел разработан в соответствии с требованиями СНиП 41-02-2003 «Тепловые сети», СП 131.13330.2012 «Строительная климатология», СП 42.13330.2011 «Градостроительство. Планировка и застройка городских и сельских поселений», МДК 4-05.2004.</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в населенных пунктах Едровского СП отопление жилого фонда, в основном, печное, в с. Едрово централизованное теплоснабжение осуществляется для отопления административно-общественной застройки, частично жилого сектора. На территории планируемых микрорайонов с. Едрово, центральные источники теплоснабжения отсутствуют.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показатели теплоснабжения с учетом непроизводственных потерь, рассчитаны с применением укрупненных показателей  и на основании МДК 4-05.2004 где: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V - объем зданий, тыс. м3;</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m - число человек;</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qo - удельная тепловая характеристика для отопления, ккал/м3*ч;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qv - удельная тепловая характеристика для вентиляции, ккал/м3*ч;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qh - норма затрат воды на горячее водоснабжение абонента, л/ед. измерения в сутки; по таблице Приложения 3 СНиП 2.04.01-85*</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Qomax - максимальный тепловой поток на отопление, жилых и общественных зданий, МВт;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Qvmax - максимальный тепловой поток на вентиляцию общественных зданий, МВт;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Qhmax - максимальный тепловой поток на горячее водоснабжение, МВт;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Qсум - суммарный тепловой поток, МВт;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Qзд. - тепловой поток на одно здание, МВт;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Gd - суммарный расчетный расход сетевой воды в двухтрубных тепловых сетях, м³/час;</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Расчетная температура отопительного периода, -27оС;</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Продолжительность  отопительного периода, 221сут;</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Средняя температура за отопительный период, -2,3оС.</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Проектные решения: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качестве источников теплоснабжения индивидуальной жилой застройки и планируемой общественно-деловой застройки в с. Едрово проектируемых кварталов приняты индивидуальные источники тепла на любом доступном виде топлива.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Основные показатели обеспечения теплоснабжения приведены в таблице 8.2.1.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Таблице 8.2.1.</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902"/>
        <w:gridCol w:w="743"/>
        <w:gridCol w:w="486"/>
        <w:gridCol w:w="528"/>
        <w:gridCol w:w="514"/>
        <w:gridCol w:w="514"/>
        <w:gridCol w:w="514"/>
        <w:gridCol w:w="793"/>
        <w:gridCol w:w="684"/>
        <w:gridCol w:w="793"/>
        <w:gridCol w:w="793"/>
        <w:gridCol w:w="684"/>
        <w:gridCol w:w="747"/>
      </w:tblGrid>
      <w:tr w:rsidR="00201A0D" w:rsidRPr="00201A0D" w:rsidTr="003E53A7">
        <w:trPr>
          <w:trHeight w:val="255"/>
        </w:trPr>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квартала</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Назначение</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Этажность</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V, м3</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m, чел</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qо, Вт</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qv, Вт</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qh, Вт</w:t>
            </w:r>
          </w:p>
        </w:tc>
        <w:tc>
          <w:tcPr>
            <w:tcW w:w="0" w:type="auto"/>
            <w:gridSpan w:val="2"/>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Жилые здания</w:t>
            </w:r>
          </w:p>
        </w:tc>
        <w:tc>
          <w:tcPr>
            <w:tcW w:w="0" w:type="auto"/>
            <w:gridSpan w:val="3"/>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Обществ. и пром. здания</w:t>
            </w:r>
          </w:p>
        </w:tc>
        <w:tc>
          <w:tcPr>
            <w:tcW w:w="0" w:type="auto"/>
            <w:vMerge w:val="restart"/>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Qсум., кВт</w:t>
            </w:r>
          </w:p>
        </w:tc>
      </w:tr>
      <w:tr w:rsidR="00201A0D" w:rsidRPr="00201A0D" w:rsidTr="003E53A7">
        <w:trPr>
          <w:trHeight w:val="520"/>
        </w:trPr>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Qоmax, кВт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Qhm, кВт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Qоmax, кВт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Qvmax, кВт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Qhm, кВт</w:t>
            </w:r>
          </w:p>
        </w:tc>
        <w:tc>
          <w:tcPr>
            <w:tcW w:w="0" w:type="auto"/>
            <w:vMerge/>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Жилое здание</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2722</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118,9</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132,8</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Жилое здание</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6998</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305,7</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341,9</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Жилое здание</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7776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339,6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41,9</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381,5</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Жилое здание</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1944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84,9</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94,7</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Жилое здание</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6221</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271,7</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33,5</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305,2</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Жилое здание</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8165</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0,74</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356,6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399,9</w:t>
            </w:r>
          </w:p>
        </w:tc>
      </w:tr>
      <w:tr w:rsidR="00201A0D" w:rsidRPr="00201A0D" w:rsidTr="003E53A7">
        <w:trPr>
          <w:trHeight w:val="255"/>
        </w:trPr>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Магазины</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 эт</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2485</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70,4</w:t>
            </w:r>
          </w:p>
        </w:tc>
      </w:tr>
      <w:tr w:rsidR="00201A0D" w:rsidRPr="00201A0D" w:rsidTr="003E53A7">
        <w:trPr>
          <w:trHeight w:val="255"/>
        </w:trPr>
        <w:tc>
          <w:tcPr>
            <w:tcW w:w="0" w:type="auto"/>
            <w:gridSpan w:val="8"/>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ИТОГО</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1477,3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178,6</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51,3</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19,0</w:t>
            </w:r>
          </w:p>
        </w:tc>
        <w:tc>
          <w:tcPr>
            <w:tcW w:w="0" w:type="auto"/>
            <w:shd w:val="clear" w:color="auto" w:fill="auto"/>
            <w:noWrap/>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1726,3</w:t>
            </w: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Теплоснабжение объектов общественно-деловой застройки д. Большое Насакино планируется осуществить от центральных источников теплоснабжения с устройством 3 блочно-модульных котельных (БМК).</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кадетского корпуса, для удовлетворения потребностей в теплоснабжении собственных зданий, планируется размещение БМК №3, производительностью 0,6 Гкал/ч.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Гостиницы расположенные в мкр. №79, а также «Центр боевых искусств» планируется снабжать теплом  от БМК №2, производительностью 1,0 Гкал/ч.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Отопление блокированной (таунхаус), индивидуальной существующей и планируемой жилой застройки, а так же планируемых кафе располагаемого в мкр. №31 и базы отдыха располагаемой мкр. №13 планируется осуществить от индивидуальных источников тепла на любом доступном виде топлива. Общая потребность в тепле для снабжения жилого фонда населенного пункта оценивается в 8,8 Гкал/час.</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От БМК №1, производительностью 2,6 Гкал/ч, планируется снабжать теплом здания административно-деловой зоны населенного пункта.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показатели обеспечения теплоснабжения общественно-деловой застройки приведены  в таблице 8.2.2.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Таблице 8.2.2.</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
        <w:gridCol w:w="949"/>
        <w:gridCol w:w="799"/>
        <w:gridCol w:w="532"/>
        <w:gridCol w:w="406"/>
        <w:gridCol w:w="437"/>
        <w:gridCol w:w="437"/>
        <w:gridCol w:w="437"/>
        <w:gridCol w:w="620"/>
        <w:gridCol w:w="501"/>
        <w:gridCol w:w="620"/>
        <w:gridCol w:w="620"/>
        <w:gridCol w:w="501"/>
        <w:gridCol w:w="570"/>
        <w:gridCol w:w="501"/>
        <w:gridCol w:w="632"/>
        <w:gridCol w:w="571"/>
      </w:tblGrid>
      <w:tr w:rsidR="00201A0D" w:rsidRPr="00201A0D" w:rsidTr="003C0C73">
        <w:trPr>
          <w:cantSplit/>
          <w:trHeight w:val="255"/>
          <w:tblHeader/>
        </w:trPr>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 </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Назначение</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Этажность</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V,</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m, чел</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Вт</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qv,</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Вт</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qh,</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Вт</w:t>
            </w:r>
          </w:p>
        </w:tc>
        <w:tc>
          <w:tcPr>
            <w:tcW w:w="0" w:type="auto"/>
            <w:gridSpan w:val="2"/>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Жилые здания</w:t>
            </w:r>
          </w:p>
        </w:tc>
        <w:tc>
          <w:tcPr>
            <w:tcW w:w="0" w:type="auto"/>
            <w:gridSpan w:val="3"/>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Обществ. и пром. здания</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Qсум., МВт</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Над-ка 10%, МВт</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Qсум., Гкалл/ч</w:t>
            </w:r>
          </w:p>
        </w:tc>
        <w:tc>
          <w:tcPr>
            <w:tcW w:w="0" w:type="auto"/>
            <w:vMerge w:val="restart"/>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Gd, м3/час</w:t>
            </w:r>
          </w:p>
        </w:tc>
      </w:tr>
      <w:tr w:rsidR="00201A0D" w:rsidRPr="00201A0D" w:rsidTr="003C0C73">
        <w:trPr>
          <w:cantSplit/>
          <w:trHeight w:val="491"/>
          <w:tblHeader/>
        </w:trPr>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Qоmax, МВт</w:t>
            </w:r>
          </w:p>
        </w:tc>
        <w:tc>
          <w:tcPr>
            <w:tcW w:w="0" w:type="auto"/>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Qhm, МВт</w:t>
            </w:r>
          </w:p>
        </w:tc>
        <w:tc>
          <w:tcPr>
            <w:tcW w:w="0" w:type="auto"/>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Qоmax, МВт</w:t>
            </w:r>
          </w:p>
        </w:tc>
        <w:tc>
          <w:tcPr>
            <w:tcW w:w="0" w:type="auto"/>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Qvmax, МВт</w:t>
            </w:r>
          </w:p>
        </w:tc>
        <w:tc>
          <w:tcPr>
            <w:tcW w:w="0" w:type="auto"/>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Qhm, МВт</w:t>
            </w: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c>
          <w:tcPr>
            <w:tcW w:w="0" w:type="auto"/>
            <w:vMerge/>
            <w:tcBorders>
              <w:bottom w:val="single" w:sz="4" w:space="0" w:color="auto"/>
            </w:tcBorders>
            <w:shd w:val="clear" w:color="auto" w:fill="auto"/>
            <w:vAlign w:val="center"/>
            <w:hideMark/>
          </w:tcPr>
          <w:p w:rsidR="00201A0D" w:rsidRPr="00201A0D" w:rsidRDefault="00201A0D" w:rsidP="00201A0D">
            <w:pPr>
              <w:spacing w:after="0"/>
              <w:rPr>
                <w:rFonts w:ascii="Times New Roman" w:hAnsi="Times New Roman" w:cs="Times New Roman"/>
                <w:sz w:val="20"/>
                <w:szCs w:val="20"/>
              </w:rPr>
            </w:pPr>
          </w:p>
        </w:tc>
      </w:tr>
      <w:tr w:rsidR="00201A0D" w:rsidRPr="00201A0D" w:rsidTr="003C0C73">
        <w:trPr>
          <w:cantSplit/>
          <w:trHeight w:val="255"/>
          <w:tblHeader/>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Поликлиника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8,57</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Концертно-выстовочный центр</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0,313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0,825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0,780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31,22</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Адмн. здания</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1225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Магазины</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2625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2,81</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Адмн. здания</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Магазины</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0,033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Кинотеатры</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6400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0,235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8,88</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Ресторан</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0,70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0,176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6,05</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Детсад</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Школа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4,55</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 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0,197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7,89</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Адмн. здания</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 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Адмн. здания</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3675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4,86</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Спорт</w:t>
            </w:r>
            <w:r w:rsidR="003C0C73">
              <w:rPr>
                <w:rFonts w:ascii="Times New Roman" w:hAnsi="Times New Roman" w:cs="Times New Roman"/>
                <w:sz w:val="20"/>
                <w:szCs w:val="20"/>
              </w:rPr>
              <w:t xml:space="preserve">- </w:t>
            </w:r>
            <w:r w:rsidRPr="00201A0D">
              <w:rPr>
                <w:rFonts w:ascii="Times New Roman" w:hAnsi="Times New Roman" w:cs="Times New Roman"/>
                <w:sz w:val="20"/>
                <w:szCs w:val="20"/>
              </w:rPr>
              <w:t>заведение</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13600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0,302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0,285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11,41</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Автостанция</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0,58</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0,192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7,28</w:t>
            </w:r>
          </w:p>
        </w:tc>
      </w:tr>
      <w:tr w:rsidR="00201A0D" w:rsidRPr="00201A0D" w:rsidTr="003C0C73">
        <w:trPr>
          <w:cantSplit/>
          <w:trHeight w:val="255"/>
        </w:trPr>
        <w:tc>
          <w:tcPr>
            <w:tcW w:w="0" w:type="auto"/>
            <w:gridSpan w:val="10"/>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БМК №1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1,414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0,970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0,347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2,731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2,583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103,34</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Спорт</w:t>
            </w:r>
            <w:r w:rsidR="003C0C73">
              <w:rPr>
                <w:rFonts w:ascii="Times New Roman" w:hAnsi="Times New Roman" w:cs="Times New Roman"/>
                <w:sz w:val="20"/>
                <w:szCs w:val="20"/>
              </w:rPr>
              <w:t>-</w:t>
            </w:r>
            <w:r w:rsidRPr="00201A0D">
              <w:rPr>
                <w:rFonts w:ascii="Times New Roman" w:hAnsi="Times New Roman" w:cs="Times New Roman"/>
                <w:sz w:val="20"/>
                <w:szCs w:val="20"/>
              </w:rPr>
              <w:t>заведение</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5,09</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0,318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0,223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0,541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20,46</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0,180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0,112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0,292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0,321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11,04</w:t>
            </w:r>
          </w:p>
        </w:tc>
      </w:tr>
      <w:tr w:rsidR="00201A0D" w:rsidRPr="00201A0D" w:rsidTr="003C0C73">
        <w:trPr>
          <w:cantSplit/>
          <w:trHeight w:val="255"/>
        </w:trPr>
        <w:tc>
          <w:tcPr>
            <w:tcW w:w="0" w:type="auto"/>
            <w:gridSpan w:val="10"/>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БМК №2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0,607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0,967</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1,064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0,915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36,60</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Гостиница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0,335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0,478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0,526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0,452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18,09</w:t>
            </w:r>
          </w:p>
        </w:tc>
      </w:tr>
      <w:tr w:rsidR="00201A0D" w:rsidRPr="00201A0D" w:rsidTr="003C0C73">
        <w:trPr>
          <w:cantSplit/>
          <w:trHeight w:val="255"/>
        </w:trPr>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Школа</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1-2эт</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5250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0,021</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0,146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0,160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0,138</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5,52</w:t>
            </w:r>
          </w:p>
        </w:tc>
      </w:tr>
      <w:tr w:rsidR="00201A0D" w:rsidRPr="00201A0D" w:rsidTr="003C0C73">
        <w:trPr>
          <w:cantSplit/>
          <w:trHeight w:val="255"/>
        </w:trPr>
        <w:tc>
          <w:tcPr>
            <w:tcW w:w="0" w:type="auto"/>
            <w:gridSpan w:val="10"/>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БМК №3</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0,246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0,022</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0,356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0,624</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0,686</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0,590</w:t>
            </w:r>
          </w:p>
        </w:tc>
        <w:tc>
          <w:tcPr>
            <w:tcW w:w="0" w:type="auto"/>
            <w:shd w:val="clear" w:color="auto" w:fill="auto"/>
            <w:vAlign w:val="center"/>
            <w:hideMark/>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23,61</w:t>
            </w: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3C0C73">
      <w:pPr>
        <w:spacing w:after="0"/>
        <w:jc w:val="both"/>
        <w:rPr>
          <w:rFonts w:ascii="Times New Roman" w:hAnsi="Times New Roman" w:cs="Times New Roman"/>
          <w:sz w:val="20"/>
          <w:szCs w:val="20"/>
        </w:rPr>
      </w:pPr>
      <w:bookmarkStart w:id="74" w:name="_Toc433382437"/>
      <w:r w:rsidRPr="00201A0D">
        <w:rPr>
          <w:rFonts w:ascii="Times New Roman" w:hAnsi="Times New Roman" w:cs="Times New Roman"/>
          <w:sz w:val="20"/>
          <w:szCs w:val="20"/>
        </w:rPr>
        <w:t>8.3. Газоснабжение</w:t>
      </w:r>
      <w:bookmarkEnd w:id="73"/>
      <w:r w:rsidRPr="00201A0D">
        <w:rPr>
          <w:rFonts w:ascii="Times New Roman" w:hAnsi="Times New Roman" w:cs="Times New Roman"/>
          <w:sz w:val="20"/>
          <w:szCs w:val="20"/>
        </w:rPr>
        <w:t>.</w:t>
      </w:r>
      <w:bookmarkEnd w:id="74"/>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Газоснабжение Едровского сельского поселения  в настоящее время осуществляется на базе природного и сжиженного газа.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Сжиженный газ в населенных пунктах Едровского сельского поселения используется в основном на нужды приготовления пищи. Для газоснабжения жилого сектора применяются индивидуальные газобаллонные установки сжиженного газа. Кроме того потребителями сжиженного газа в сельском поселении являются АГЗС. Сжиженный газ доставляется автотранспортом в баллонах с газового участка г. Валдай.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По территории Едровского СП проходят магистральные газопроводы «Белоусово-Ленинград», «Серпухов-Ленинград», «Торжок-Валдай». Газоснабжение природным газом осуществляется от автоматизированной газораспределительной станции (АГРС) «Едрово», расположенной за границей села. Проектная производительность АГРС «Едрово» 2,0 тыс м3/ч, ввод в эксплуатацию -1996. Газ к АГРС «Едрово» поступает по ответвлению от магистрального газопровода «Торжок – Валдай».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частично газифицировано только с. Едрово. От АГРС «Едрово » газ подается потребителям по газопроводу высокого давления 2 категории (0,6 МПа) до газорегуляторных установок (ГРП, ШРП). В населенном пункте имеются газопроводы высокого и низкого давления. К сетям высокого давления подключены газорегуляторные пункты (ГРП, ГРПШ). Местные котельные и индивидуальные источники теплоснабжения подключены от газопроводов низкого давления.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Природный газ используется на нужды населения для приготовления пищи, в качестве топлива для котельных и на теплоснабжение домов индивидуальной жилой застройки.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Перевод потребителей существующей жилой  застройки  на газовое топливо производится  поэтапно.</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Из существующих источников тепла для общественно-деловой застройки в с. Едрово часть работают на газовом топливе. На основании исходных данных в таблице 8.3.1., приведен максимальный расчетный расход газа. </w:t>
      </w: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8.3.1.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1842"/>
        <w:gridCol w:w="1418"/>
        <w:gridCol w:w="1276"/>
        <w:gridCol w:w="1842"/>
      </w:tblGrid>
      <w:tr w:rsidR="00201A0D" w:rsidRPr="00201A0D" w:rsidTr="00201A0D">
        <w:trPr>
          <w:trHeight w:val="273"/>
        </w:trPr>
        <w:tc>
          <w:tcPr>
            <w:tcW w:w="534"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п/п</w:t>
            </w:r>
          </w:p>
        </w:tc>
        <w:tc>
          <w:tcPr>
            <w:tcW w:w="340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Потребители</w:t>
            </w:r>
          </w:p>
        </w:tc>
        <w:tc>
          <w:tcPr>
            <w:tcW w:w="18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Общая тепловая мощность котельной, Гкал/ч</w:t>
            </w:r>
          </w:p>
        </w:tc>
        <w:tc>
          <w:tcPr>
            <w:tcW w:w="2694" w:type="dxa"/>
            <w:gridSpan w:val="2"/>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 газа</w:t>
            </w:r>
          </w:p>
        </w:tc>
        <w:tc>
          <w:tcPr>
            <w:tcW w:w="18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Примечание</w:t>
            </w:r>
          </w:p>
        </w:tc>
      </w:tr>
      <w:tr w:rsidR="00201A0D" w:rsidRPr="00201A0D" w:rsidTr="00201A0D">
        <w:trPr>
          <w:trHeight w:val="535"/>
        </w:trPr>
        <w:tc>
          <w:tcPr>
            <w:tcW w:w="534" w:type="dxa"/>
            <w:vMerge/>
            <w:vAlign w:val="center"/>
          </w:tcPr>
          <w:p w:rsidR="00201A0D" w:rsidRPr="00201A0D" w:rsidRDefault="00201A0D" w:rsidP="00201A0D">
            <w:pPr>
              <w:spacing w:after="0"/>
              <w:rPr>
                <w:rFonts w:ascii="Times New Roman" w:hAnsi="Times New Roman" w:cs="Times New Roman"/>
                <w:sz w:val="20"/>
                <w:szCs w:val="20"/>
              </w:rPr>
            </w:pPr>
          </w:p>
        </w:tc>
        <w:tc>
          <w:tcPr>
            <w:tcW w:w="3402" w:type="dxa"/>
            <w:vMerge/>
            <w:vAlign w:val="center"/>
          </w:tcPr>
          <w:p w:rsidR="00201A0D" w:rsidRPr="00201A0D" w:rsidRDefault="00201A0D" w:rsidP="00201A0D">
            <w:pPr>
              <w:spacing w:after="0"/>
              <w:rPr>
                <w:rFonts w:ascii="Times New Roman" w:hAnsi="Times New Roman" w:cs="Times New Roman"/>
                <w:sz w:val="20"/>
                <w:szCs w:val="20"/>
              </w:rPr>
            </w:pPr>
          </w:p>
        </w:tc>
        <w:tc>
          <w:tcPr>
            <w:tcW w:w="1842" w:type="dxa"/>
            <w:vMerge/>
            <w:vAlign w:val="center"/>
          </w:tcPr>
          <w:p w:rsidR="00201A0D" w:rsidRPr="00201A0D" w:rsidRDefault="00201A0D" w:rsidP="00201A0D">
            <w:pPr>
              <w:spacing w:after="0"/>
              <w:rPr>
                <w:rFonts w:ascii="Times New Roman" w:hAnsi="Times New Roman" w:cs="Times New Roman"/>
                <w:sz w:val="20"/>
                <w:szCs w:val="20"/>
              </w:rPr>
            </w:pP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м3/год</w:t>
            </w:r>
          </w:p>
        </w:tc>
        <w:tc>
          <w:tcPr>
            <w:tcW w:w="1276"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Часовой, м3/ч</w:t>
            </w:r>
          </w:p>
        </w:tc>
        <w:tc>
          <w:tcPr>
            <w:tcW w:w="1842" w:type="dxa"/>
            <w:vMerge/>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c>
          <w:tcPr>
            <w:tcW w:w="53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4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Индивидуальный источник тепла (котел) - больница</w:t>
            </w:r>
          </w:p>
        </w:tc>
        <w:tc>
          <w:tcPr>
            <w:tcW w:w="18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20873</w:t>
            </w:r>
          </w:p>
        </w:tc>
        <w:tc>
          <w:tcPr>
            <w:tcW w:w="1276"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7,8</w:t>
            </w:r>
          </w:p>
        </w:tc>
        <w:tc>
          <w:tcPr>
            <w:tcW w:w="1842"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Подключены к газопроводу низкого давления</w:t>
            </w:r>
          </w:p>
        </w:tc>
      </w:tr>
      <w:tr w:rsidR="00201A0D" w:rsidRPr="00201A0D" w:rsidTr="00201A0D">
        <w:tc>
          <w:tcPr>
            <w:tcW w:w="53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4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Индивидуальные источники тепла (котел) – Пром. зона «Лидер»</w:t>
            </w:r>
          </w:p>
        </w:tc>
        <w:tc>
          <w:tcPr>
            <w:tcW w:w="184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1418"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25154</w:t>
            </w:r>
          </w:p>
        </w:tc>
        <w:tc>
          <w:tcPr>
            <w:tcW w:w="1276"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w:t>
            </w:r>
          </w:p>
        </w:tc>
        <w:tc>
          <w:tcPr>
            <w:tcW w:w="1842" w:type="dxa"/>
            <w:vMerge/>
            <w:vAlign w:val="center"/>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настоящее время выполнена прокладка газопровода  высокого давления (0,6 МПа) до котельной №15.</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Газоснабжение жилых домов существующей жилой застройки осуществляется от газопроводов низкого давления. Существующие газопроводы выполнены из стальных и полиэтиленовых труб. Стальные подземные газопроводы высокого давления проложены, в основном, по мало застроенной территории города, имеется катодная защита от электрохимической коррозии.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На основании исходных данных в таблице 8.3.2. приведены отдельные сведения по ГРП, ГРПШ, ШРП с. Едрово.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8.3.2.</w:t>
      </w:r>
    </w:p>
    <w:tbl>
      <w:tblPr>
        <w:tblW w:w="4947" w:type="pct"/>
        <w:tblInd w:w="-5" w:type="dxa"/>
        <w:tblLayout w:type="fixed"/>
        <w:tblLook w:val="0000"/>
      </w:tblPr>
      <w:tblGrid>
        <w:gridCol w:w="833"/>
        <w:gridCol w:w="2116"/>
        <w:gridCol w:w="2795"/>
        <w:gridCol w:w="3726"/>
      </w:tblGrid>
      <w:tr w:rsidR="00201A0D" w:rsidRPr="00201A0D" w:rsidTr="00201A0D">
        <w:trPr>
          <w:cantSplit/>
          <w:tblHeader/>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п/п</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Месторасположения</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Давление газа, на входе и выходе</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Производительность /тип  газопровода</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ГРП № 11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 Сосновый)</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4500м3/ч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ГРП имеется сеть низкого давления</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61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 Станционная, 30)</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 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ШРП Имеется сеть низкого давления</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160</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 Московская, 105)</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 м3/ч</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200</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 Животноводов, 12)</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 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ШРП имеется сеть низкого давления</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201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 Животноводов, 20)</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 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ШРП имеется сеть низкого давления</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56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(дом обходчика)</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 м3/ч</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51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(«Лидер»)</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 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ШРП имеется сеть низкого давления</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123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 Сосновая, 35)</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 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ШРП имеется сеть низкого давления</w:t>
            </w:r>
          </w:p>
        </w:tc>
      </w:tr>
      <w:tr w:rsidR="00201A0D" w:rsidRPr="00201A0D" w:rsidTr="00201A0D">
        <w:trPr>
          <w:cantSplit/>
          <w:trHeight w:val="397"/>
        </w:trPr>
        <w:tc>
          <w:tcPr>
            <w:tcW w:w="832"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2116"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ШРП № 143</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(ул. Сосновая, 35)</w:t>
            </w:r>
          </w:p>
        </w:tc>
        <w:tc>
          <w:tcPr>
            <w:tcW w:w="2795" w:type="dxa"/>
            <w:tcBorders>
              <w:top w:val="single" w:sz="4" w:space="0" w:color="000000"/>
              <w:left w:val="single" w:sz="4" w:space="0" w:color="000000"/>
              <w:bottom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входное – 0,6 МПа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 м3/ч</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ШРП имеется сеть низкого давления</w:t>
            </w:r>
          </w:p>
        </w:tc>
      </w:tr>
    </w:tbl>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Газификация поселения производится в соответствии с утвержденной программой, схемой и проектов газификации Новгородской области.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Имеется «Генеральная схема газоснабжения и газификации Новгородской области», разработанная ОАО «Промгаз», Концепция Генерального плана Валдайского городского поселения Валдайского муниципального района Новгородской области (ОАО Институт «Новгородгражданпроект», г. Великий Новгород, 2009г), ГЕНЕРАЛЬНЫЙ ПЛАН Едровское сельское поселение, Валдайский район, Новгородская область, выполненный ОАО Институтом «Новгородгражданпроект» (г. Великий Новгород , 2010год). На основании планов газификации, предусматривается 100% газоснабжение населенных пунктов газом.</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Предлагаемые решения, схема газоснабжения и расчет газа производились с учетом существующих и ранее запроектированных газопроводов, а также  в соответствии со  следующими нормативными  документами: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-СП 62.13330.2011- «Газораспределительные системы» Актуализированная редакция СНиП 42-01-2002 «Газораспределительные системы».</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-СП 42-101-2003 «Общие положения по проектированию и строительству газораспределительных систем из металлических и полиэтиленовых труб»;</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ПБ 12-529-03 «Правила безопасности систем газораспределения и газопотребления».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-СП 42.13330.2011 «Градостроительство. Планировка и застройка городских и сельских поселений».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-СП 131.13330.2012 «Строительная климатология» Актуализированная версия СНиП 23-01-99*.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 основании «Генерального плана» предусматривается обеспечение природным газом населенных пунктов Едровского сельского поселения. Источники газоснабжения природным газом предполагаются от АГРС Валдай и АГРС «Едрово». От АГРС Валдай будут обеспечены газом среднего давления (0,3 МПа) населенные пункты Добывалово, Зеленая Роща, Старая и Новая Ситенка. Остальные населенные пункты предлагается обеспечить газом высокого давления 2 категории (0,6 МПа) от АГРС «Едрово». В населенных пунктах Едровского сельского поселения с незначительным количеством жителей на расчетный срок </w:t>
      </w:r>
      <w:r w:rsidRPr="00201A0D">
        <w:rPr>
          <w:rFonts w:ascii="Times New Roman" w:hAnsi="Times New Roman" w:cs="Times New Roman"/>
          <w:sz w:val="20"/>
          <w:szCs w:val="20"/>
        </w:rPr>
        <w:lastRenderedPageBreak/>
        <w:t>предлагается оставить существующую систему газоснабжения на базе сжиженного газа от индивидуальных баллонных установок.</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сельском поселении предусматриваются развитие населенных пунктов с. Едрово и д. Большое Носакино. В д. Зеленая Роща предусматривается газификация существующей котельной № 18 (2,0 Гкал/ч) психоневрологического диспансера с учетом реконструкции котельной и переводом оборудования на газовое топливо. Расчетный расход газа на котельную 277,8 м3/ч.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Газоснабжение планируемой и существующей застройки в с. Едрово и д. Большое Носакино предлагается от существующих и планируемых газопроводов высокого и среднего и низкого давления.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Газоснабжение планируемых кварталов индивидуальной жилой и общественно-деловой застройки в с. Едрово предлагается предусмотреть с учетом существующих ГРП (ШРП, ГРПШ) и газопроводов. Газоснабжение индивидуальной жилой застройки (кварталы № 1 - 6) и индивидуальных источников тепла для теплоснабжения в общественно-деловой застройке (квартал № 7), предлагается предусмотреть от перспективных сетей газопроводов низкого давления от планируемого ГРПШ. Расчетное давление на входе в ГРПШ - высокое (Р ≤ 0,6 МПа), на выходе - низкое (Р ≤ 0,005 МПа). Общий расчетный расход газа по планируемой застройке и нагрузка на ГРПШ - </w:t>
      </w:r>
      <w:r w:rsidR="00515F88" w:rsidRPr="00201A0D">
        <w:rPr>
          <w:rFonts w:ascii="Times New Roman" w:hAnsi="Times New Roman" w:cs="Times New Roman"/>
          <w:sz w:val="20"/>
          <w:szCs w:val="20"/>
        </w:rPr>
        <w:fldChar w:fldCharType="begin"/>
      </w:r>
      <w:r w:rsidRPr="00201A0D">
        <w:rPr>
          <w:rFonts w:ascii="Times New Roman" w:hAnsi="Times New Roman" w:cs="Times New Roman"/>
          <w:sz w:val="20"/>
          <w:szCs w:val="20"/>
        </w:rPr>
        <w:instrText xml:space="preserve"> =SUM(ABOVE) </w:instrText>
      </w:r>
      <w:r w:rsidR="00515F88" w:rsidRPr="00201A0D">
        <w:rPr>
          <w:rFonts w:ascii="Times New Roman" w:hAnsi="Times New Roman" w:cs="Times New Roman"/>
          <w:sz w:val="20"/>
          <w:szCs w:val="20"/>
        </w:rPr>
        <w:fldChar w:fldCharType="separate"/>
      </w:r>
      <w:r w:rsidRPr="00201A0D">
        <w:rPr>
          <w:rFonts w:ascii="Times New Roman" w:hAnsi="Times New Roman" w:cs="Times New Roman"/>
          <w:sz w:val="20"/>
          <w:szCs w:val="20"/>
        </w:rPr>
        <w:t>192,4</w:t>
      </w:r>
      <w:r w:rsidR="00515F88" w:rsidRPr="00201A0D">
        <w:rPr>
          <w:rFonts w:ascii="Times New Roman" w:hAnsi="Times New Roman" w:cs="Times New Roman"/>
          <w:sz w:val="20"/>
          <w:szCs w:val="20"/>
        </w:rPr>
        <w:fldChar w:fldCharType="end"/>
      </w:r>
      <w:r w:rsidRPr="00201A0D">
        <w:rPr>
          <w:rFonts w:ascii="Times New Roman" w:hAnsi="Times New Roman" w:cs="Times New Roman"/>
          <w:sz w:val="20"/>
          <w:szCs w:val="20"/>
        </w:rPr>
        <w:t xml:space="preserve"> м3/ч, годовой- </w:t>
      </w:r>
      <w:r w:rsidR="00515F88" w:rsidRPr="00201A0D">
        <w:rPr>
          <w:rFonts w:ascii="Times New Roman" w:hAnsi="Times New Roman" w:cs="Times New Roman"/>
          <w:sz w:val="20"/>
          <w:szCs w:val="20"/>
        </w:rPr>
        <w:fldChar w:fldCharType="begin"/>
      </w:r>
      <w:r w:rsidRPr="00201A0D">
        <w:rPr>
          <w:rFonts w:ascii="Times New Roman" w:hAnsi="Times New Roman" w:cs="Times New Roman"/>
          <w:sz w:val="20"/>
          <w:szCs w:val="20"/>
        </w:rPr>
        <w:instrText xml:space="preserve"> =SUM(ABOVE) </w:instrText>
      </w:r>
      <w:r w:rsidR="00515F88" w:rsidRPr="00201A0D">
        <w:rPr>
          <w:rFonts w:ascii="Times New Roman" w:hAnsi="Times New Roman" w:cs="Times New Roman"/>
          <w:sz w:val="20"/>
          <w:szCs w:val="20"/>
        </w:rPr>
        <w:fldChar w:fldCharType="separate"/>
      </w:r>
      <w:r w:rsidRPr="00201A0D">
        <w:rPr>
          <w:rFonts w:ascii="Times New Roman" w:hAnsi="Times New Roman" w:cs="Times New Roman"/>
          <w:sz w:val="20"/>
          <w:szCs w:val="20"/>
        </w:rPr>
        <w:t>480267</w:t>
      </w:r>
      <w:r w:rsidR="00515F88" w:rsidRPr="00201A0D">
        <w:rPr>
          <w:rFonts w:ascii="Times New Roman" w:hAnsi="Times New Roman" w:cs="Times New Roman"/>
          <w:sz w:val="20"/>
          <w:szCs w:val="20"/>
        </w:rPr>
        <w:fldChar w:fldCharType="end"/>
      </w:r>
      <w:r w:rsidRPr="00201A0D">
        <w:rPr>
          <w:rFonts w:ascii="Times New Roman" w:hAnsi="Times New Roman" w:cs="Times New Roman"/>
          <w:sz w:val="20"/>
          <w:szCs w:val="20"/>
        </w:rPr>
        <w:t xml:space="preserve"> м3/год. Предусматривается газоснабжение котельной № 14 с переводом котельной на газ и установка ГРПШ по ул. Ленинградская. Расчетный расход газа на котельную № 14 - 319,5 м3/ч. Газоснабжение котельной № 14 предусматривается от планируемого газопровода высокого давления с установкой ГРУ в котельной.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Газоснабжение д. Большое Носакино предлагается от планируемого газопровода высокого давления от ГРС «Едрово». Общий расчетный расход газа д. Большое Носакино, годовой - 3593227 м3/год, часовой – 1538,7 м3/ч.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снижения давления автоматического поддержания его на заданном уровне проектируются газорегуляторные пункты (ГРП, ГРПШ), которые обеспечивают подачу газа в сеть среднего и низкого давления. Подключение проектируемых ГРПШ предлагается произвести от газопровода высокого  давления, автономных источников тепла (АИТ) - от перспективных сетей газопроводов низкого давления. Газификацию существующих котельных производить после их реконструкции и перевода котлов на газовое топливо.</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жилых домах планируемой застройки и существующего жилого фонда, предусматривается установка газовой четырехконфорочной плиты и автоматизированного двухконтурного газового котла со встроенным контуром горячего водоснабжения.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Подача природного газа потребителям предусматривается на следующие цели: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на приготовление пищи;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на отопление зданий и горячее водоснабжение;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планируемых участках в жилых домах предусматривается установка в каждом доме: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отопления и горячего водоснабжения - автоматизированный двухконтурный газовый котел со встроенным контуром горячего водоснабжения;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цели пищеприготовления - газовая четырехконфорочная плита.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одноквартирных жилых домах могут применяться для теплоснабжения автоматизированные теплогенераторы, работающие на газовом топливе, полной заводской готовности. Указанные теплогенераторы следует устанавливать в вентилируемом помещении дома в первом или цокольном этаже, в подвале или на крыше. Генераторы тепловой мощностью до 60 кВт допускается устанавливать на кухне.</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Следует предусматривать системы контроля загазованности помещений с автоматическим отключением подачи газа в жилых зданиях при установке отопительного оборудования: независимо от места установки - мощностью свыше 60 кВт; в подвальных, цокольных этажах и в пристройке к зданию - независимо от тепловой мощности.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Вводы газопроводов в здания следует предусматривать непосредственно в помещение, в котором установлено газоиспользующее оборудование, или в смежное с ним помещение, соединенное открытым проемом (п.5.1.6 СП 62.13330.2011).</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Газоиспользующее оборудование зданий непроизводственного назначения следует предусматривать с отводом продуктов сгорания в атмосферу и с постоянно действующей приточно-вытяжной вентиляцией, для теплоснабжения таких зданий допускается предусматривать установку отопительного газового оборудования тепловой мощностью до 360 кВт во встроенных или пристроенных помещениях, в соответствии с требованиями п.2.7.3 ПБ 12-529-03. При суммарной тепловой мощности отопительного </w:t>
      </w:r>
      <w:r w:rsidRPr="00201A0D">
        <w:rPr>
          <w:rFonts w:ascii="Times New Roman" w:hAnsi="Times New Roman" w:cs="Times New Roman"/>
          <w:sz w:val="20"/>
          <w:szCs w:val="20"/>
        </w:rPr>
        <w:lastRenderedPageBreak/>
        <w:t>газового оборудования свыше 360 кВт следует предусматривать установку в соответствии с требованиями, предъявляемыми к котельным.</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Установка газового оборудования в кухнях детских яслей - садов и кафе театров и кинотеатров не допускается. В детских, учебных, лечебных учреждениях, предприятиях общественного питания для цели пищеприготовления используется электричество.</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Сеть газопроводов предусматривается вдоль основных улиц проектируемых кварталов, вдоль существующих улиц и проездов на допустимом расстоянии от коммуникаций и сооружений в соответствии со СН и П 42-01-2002.</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Следует предусматривать системы контроля загазованности помещений с автоматическим  отключением подачи газа в жилых зданиях при установке отопительного оборудования: независимо от места установки - мощностью свыше 60 кВт; в подвальных, цокольных этажах и в пристройке к зданию независимо от тепловой мощности.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Вводы газопроводов в здания следует предусматривать непосредственно в помещение, в котором установлено газоиспользующее оборудование, или в смежное с ним помещение, соединенное открытым проемом (п.5.1.6 СП 62.13330.2011).</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Газопроводы предусматриваются подземной прокладки вдоль основных улиц и проездов на допустимом расстоянии от коммуникаций и сооружений в соответствии с СП 62.13330.2011. «Газораспределительные системы». Материал труб, трубопроводной арматуры, соединительных деталей принимаются в соответствии на основании СП 62.13330.2011. Отключающие устройства на газопроводах следует предусматривать в соответствии с п. 5.1.7 СП 62.13330.2011.</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Пересечение газопроводами водных преград и оврагов, железных и автомобильных дорог следует предусматривать в соответствии с требованиями СП 62.13330.2010 «ГАЗОРАСПРЕДЕЛИТЕЛЬНЫЕ СИСТЕМЫ».</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Следует предусмотреть мероприятия по защите стальных деталей и газопроводов от электрохимической коррозии в соответствии с действующими нормами.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Давление газа во внутренних газопроводах и перед газоиспользующим оборудованием должно соответствовать давлению, необходимому для устойчивой работы этого оборудования, указанному в паспортах предприятий-изготовителей, но не должно превышать значений, приведенных в таблице 2. СП 62. 13330.2010.</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Каждый объект, на котором устанавливается газоиспользующее оборудование, должен быть оснащен единым узлом учета газа в соответствии с нормативными правовыми документами Российской Федерации.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давлении газа во внутренних газопроводах свыше 0,0025 МПа перед газоиспользующим оборудованием должны быть установлены регуляторы - стабилизаторы по ГОСТ Р 51982, обеспечивающие оптимальный режим сгорания газа.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Схема газоснабжения обеспечивает возможность подключения потребителей к газовым сетям. Предлагаемая схема является принципиальной предлагаемой схемой и будет уточняться при выполнении проектной документации по газоснабжению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 расходов газа.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определения расходов газа и нагрузок на ГРПШ производится расчет расхода газа для нужд населения и общественных зданий. Расчет расходов газа произведен на основании теплотехнических решений и расчетов. Потребление газа на  существующий жилой фонд принят в расчетах на пищеприготовление - газовая плита, теплоснабжение частично централизованное от котельной и от двухконтурных котлов.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Расход газа для населения на хозяйственно-бытовые нужды принят с учетом расхода на одну четырехконфорочную плиту, установленную в каждом доме. Укрупненный показатель расхода газа на 1 человека принят 120 м³/год при теплоте сгорания газа 34 МДж/м³ (8000 ккал/ч) (СП 42-101-2003). Часовой расход определен с учетом коэффициента часового максимума в соответствии с СП 42-101-2003. Теплоснабжение жилых домов принято от автоматизированных двухконтурных газовых котлов со встроенным контуром горячего водоснабжения, установленных в каждом доме (квартире). Часовые расходы газа определены с учетом часового максимума в соответствии с СП 42-101-2003.</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Расход газа котлами при поквартирном теплоснабжении принят в расчете с коэффициентом полезного действия (КПД) 93% с учетом коэффициента одновременности 0,85, для общественных зданий при теплоснабжении от автономных и индивидуальных источников тепла КПД– 95%, от существующей котельной при переводе на газовое топливо – 90%.</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Результаты расчета расходов газа по планируемым кварталам и существующей застройке с. Едрово (без учета расхода газа на промышленное и сельскохозяйственное потребление) сведены в таблице 8.3.4.</w:t>
      </w:r>
    </w:p>
    <w:p w:rsidR="00201A0D" w:rsidRPr="00201A0D" w:rsidRDefault="00201A0D" w:rsidP="003C0C73">
      <w:pPr>
        <w:spacing w:after="0"/>
        <w:jc w:val="both"/>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8.3.4.</w:t>
      </w:r>
    </w:p>
    <w:tbl>
      <w:tblPr>
        <w:tblW w:w="10348" w:type="dxa"/>
        <w:tblInd w:w="-10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40" w:type="dxa"/>
          <w:right w:w="40" w:type="dxa"/>
        </w:tblCellMar>
        <w:tblLook w:val="0000"/>
      </w:tblPr>
      <w:tblGrid>
        <w:gridCol w:w="3261"/>
        <w:gridCol w:w="1134"/>
        <w:gridCol w:w="992"/>
        <w:gridCol w:w="992"/>
        <w:gridCol w:w="993"/>
        <w:gridCol w:w="992"/>
        <w:gridCol w:w="992"/>
        <w:gridCol w:w="992"/>
      </w:tblGrid>
      <w:tr w:rsidR="00201A0D" w:rsidRPr="00201A0D" w:rsidTr="00201A0D">
        <w:trPr>
          <w:cantSplit/>
          <w:trHeight w:val="20"/>
        </w:trPr>
        <w:tc>
          <w:tcPr>
            <w:tcW w:w="3261" w:type="dxa"/>
            <w:vMerge w:val="restart"/>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Номер квартала</w:t>
            </w:r>
          </w:p>
        </w:tc>
        <w:tc>
          <w:tcPr>
            <w:tcW w:w="1134" w:type="dxa"/>
            <w:vMerge w:val="restart"/>
            <w:tcBorders>
              <w:top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Проектируемое количество жителей, человек</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 газа на бытовые нужды населения</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 газа на теплоснабжение</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Общий расход газа</w:t>
            </w:r>
          </w:p>
        </w:tc>
      </w:tr>
      <w:tr w:rsidR="00201A0D" w:rsidRPr="00201A0D" w:rsidTr="00201A0D">
        <w:trPr>
          <w:cantSplit/>
          <w:trHeight w:val="20"/>
        </w:trPr>
        <w:tc>
          <w:tcPr>
            <w:tcW w:w="3261" w:type="dxa"/>
            <w:vMerge/>
            <w:shd w:val="clear" w:color="auto" w:fill="FFFFFF"/>
            <w:vAlign w:val="center"/>
          </w:tcPr>
          <w:p w:rsidR="00201A0D" w:rsidRPr="00201A0D" w:rsidRDefault="00201A0D" w:rsidP="00201A0D">
            <w:pPr>
              <w:spacing w:after="0"/>
              <w:rPr>
                <w:rFonts w:ascii="Times New Roman" w:hAnsi="Times New Roman" w:cs="Times New Roman"/>
                <w:sz w:val="20"/>
                <w:szCs w:val="20"/>
              </w:rPr>
            </w:pPr>
          </w:p>
        </w:tc>
        <w:tc>
          <w:tcPr>
            <w:tcW w:w="1134" w:type="dxa"/>
            <w:vMerge/>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p>
        </w:tc>
        <w:tc>
          <w:tcPr>
            <w:tcW w:w="992" w:type="dxa"/>
            <w:tcBorders>
              <w:top w:val="single" w:sz="4" w:space="0" w:color="auto"/>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 год</w:t>
            </w:r>
          </w:p>
        </w:tc>
        <w:tc>
          <w:tcPr>
            <w:tcW w:w="992"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Часовой,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 ч</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м³/год</w:t>
            </w:r>
          </w:p>
        </w:tc>
        <w:tc>
          <w:tcPr>
            <w:tcW w:w="992"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Часовой,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 ч</w:t>
            </w:r>
          </w:p>
        </w:tc>
        <w:tc>
          <w:tcPr>
            <w:tcW w:w="992" w:type="dxa"/>
            <w:tcBorders>
              <w:bottom w:val="single" w:sz="4" w:space="0" w:color="auto"/>
              <w:right w:val="single" w:sz="4" w:space="0" w:color="auto"/>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 год</w:t>
            </w:r>
          </w:p>
        </w:tc>
        <w:tc>
          <w:tcPr>
            <w:tcW w:w="992" w:type="dxa"/>
            <w:tcBorders>
              <w:left w:val="single" w:sz="4" w:space="0" w:color="auto"/>
              <w:bottom w:val="single" w:sz="4" w:space="0" w:color="auto"/>
            </w:tcBorders>
            <w:shd w:val="clear" w:color="auto" w:fill="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Часовой,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 ч</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1-ИЖС</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2400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34824</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12,9</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37224</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15,1</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2-ИЖС</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6240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4,9</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89681</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33,1</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95921</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38,0</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3-ИЖС</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7200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100169</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36,9</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107369</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42,5</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4-ИЖС</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1680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24807</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26487</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10,8</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5-ИЖС</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5760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80136</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29,5</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85896</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34,1</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6-ИЖС</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62</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7440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104942</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38,7</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112382</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44,5</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7-ОД</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14988</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14988</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7,4</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 по планируемой застройке</w:t>
            </w:r>
          </w:p>
        </w:tc>
        <w:tc>
          <w:tcPr>
            <w:tcW w:w="1134" w:type="dxa"/>
            <w:tcBorders>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256</w:t>
            </w:r>
            <w:r w:rsidRPr="00201A0D">
              <w:rPr>
                <w:rFonts w:ascii="Times New Roman" w:hAnsi="Times New Roman" w:cs="Times New Roman"/>
                <w:sz w:val="20"/>
                <w:szCs w:val="20"/>
              </w:rPr>
              <w:fldChar w:fldCharType="end"/>
            </w:r>
          </w:p>
        </w:tc>
        <w:tc>
          <w:tcPr>
            <w:tcW w:w="992" w:type="dxa"/>
            <w:tcBorders>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30720</w:t>
            </w:r>
            <w:r w:rsidRPr="00201A0D">
              <w:rPr>
                <w:rFonts w:ascii="Times New Roman" w:hAnsi="Times New Roman" w:cs="Times New Roman"/>
                <w:sz w:val="20"/>
                <w:szCs w:val="20"/>
              </w:rPr>
              <w:fldChar w:fldCharType="end"/>
            </w:r>
          </w:p>
        </w:tc>
        <w:tc>
          <w:tcPr>
            <w:tcW w:w="992" w:type="dxa"/>
            <w:tcBorders>
              <w:lef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24,7</w:t>
            </w:r>
            <w:r w:rsidRPr="00201A0D">
              <w:rPr>
                <w:rFonts w:ascii="Times New Roman" w:hAnsi="Times New Roman" w:cs="Times New Roman"/>
                <w:sz w:val="20"/>
                <w:szCs w:val="20"/>
              </w:rPr>
              <w:fldChar w:fldCharType="end"/>
            </w:r>
          </w:p>
        </w:tc>
        <w:tc>
          <w:tcPr>
            <w:tcW w:w="993" w:type="dxa"/>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449547</w:t>
            </w:r>
            <w:r w:rsidRPr="00201A0D">
              <w:rPr>
                <w:rFonts w:ascii="Times New Roman" w:hAnsi="Times New Roman" w:cs="Times New Roman"/>
                <w:sz w:val="20"/>
                <w:szCs w:val="20"/>
              </w:rPr>
              <w:fldChar w:fldCharType="end"/>
            </w:r>
          </w:p>
        </w:tc>
        <w:tc>
          <w:tcPr>
            <w:tcW w:w="992" w:type="dxa"/>
            <w:tcBorders>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167,7</w:t>
            </w:r>
            <w:r w:rsidRPr="00201A0D">
              <w:rPr>
                <w:rFonts w:ascii="Times New Roman" w:hAnsi="Times New Roman" w:cs="Times New Roman"/>
                <w:sz w:val="20"/>
                <w:szCs w:val="20"/>
              </w:rPr>
              <w:fldChar w:fldCharType="end"/>
            </w:r>
          </w:p>
        </w:tc>
        <w:tc>
          <w:tcPr>
            <w:tcW w:w="992" w:type="dxa"/>
            <w:tcBorders>
              <w:left w:val="single" w:sz="4" w:space="0" w:color="auto"/>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480267</w:t>
            </w:r>
            <w:r w:rsidRPr="00201A0D">
              <w:rPr>
                <w:rFonts w:ascii="Times New Roman" w:hAnsi="Times New Roman" w:cs="Times New Roman"/>
                <w:sz w:val="20"/>
                <w:szCs w:val="20"/>
              </w:rPr>
              <w:fldChar w:fldCharType="end"/>
            </w:r>
          </w:p>
        </w:tc>
        <w:tc>
          <w:tcPr>
            <w:tcW w:w="992" w:type="dxa"/>
            <w:tcBorders>
              <w:left w:val="single" w:sz="4" w:space="0" w:color="auto"/>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192,4</w:t>
            </w:r>
            <w:r w:rsidRPr="00201A0D">
              <w:rPr>
                <w:rFonts w:ascii="Times New Roman" w:hAnsi="Times New Roman" w:cs="Times New Roman"/>
                <w:sz w:val="20"/>
                <w:szCs w:val="20"/>
              </w:rPr>
              <w:fldChar w:fldCharType="end"/>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Существующая жилая застройка</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1266</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151920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82,2</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1730824</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632,8</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1882744</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715,0</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Планируемое увеличение жителей в существующей застройке</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7080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99934</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36,9</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107014</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42,5</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Существующие источники тепла на газовом топливе (котлы)</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46027</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46027</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17,2</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Перевод котельных на газовое топливо (№ 14 и №15), общей тепловой мощностью 4,6 Гкал/ч</w:t>
            </w:r>
          </w:p>
        </w:tc>
        <w:tc>
          <w:tcPr>
            <w:tcW w:w="1134"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2" w:type="dxa"/>
            <w:tcBorders>
              <w:lef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993"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1709696</w:t>
            </w:r>
          </w:p>
        </w:tc>
        <w:tc>
          <w:tcPr>
            <w:tcW w:w="992" w:type="dxa"/>
            <w:tcBorders>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638,9</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1709696</w:t>
            </w:r>
          </w:p>
        </w:tc>
        <w:tc>
          <w:tcPr>
            <w:tcW w:w="992" w:type="dxa"/>
            <w:tcBorders>
              <w:left w:val="single" w:sz="4" w:space="0" w:color="auto"/>
              <w:right w:val="single" w:sz="4" w:space="0" w:color="auto"/>
            </w:tcBorders>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638,9</w:t>
            </w:r>
          </w:p>
        </w:tc>
      </w:tr>
      <w:tr w:rsidR="00201A0D" w:rsidRPr="00201A0D" w:rsidTr="00201A0D">
        <w:trPr>
          <w:cantSplit/>
          <w:trHeight w:val="20"/>
        </w:trPr>
        <w:tc>
          <w:tcPr>
            <w:tcW w:w="3261" w:type="dxa"/>
            <w:shd w:val="clear" w:color="auto" w:fill="FFFFFF"/>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1134" w:type="dxa"/>
            <w:tcBorders>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1581</w:t>
            </w:r>
            <w:r w:rsidRPr="00201A0D">
              <w:rPr>
                <w:rFonts w:ascii="Times New Roman" w:hAnsi="Times New Roman" w:cs="Times New Roman"/>
                <w:sz w:val="20"/>
                <w:szCs w:val="20"/>
              </w:rPr>
              <w:fldChar w:fldCharType="end"/>
            </w:r>
          </w:p>
        </w:tc>
        <w:tc>
          <w:tcPr>
            <w:tcW w:w="992" w:type="dxa"/>
            <w:tcBorders>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189720</w:t>
            </w:r>
            <w:r w:rsidRPr="00201A0D">
              <w:rPr>
                <w:rFonts w:ascii="Times New Roman" w:hAnsi="Times New Roman" w:cs="Times New Roman"/>
                <w:sz w:val="20"/>
                <w:szCs w:val="20"/>
              </w:rPr>
              <w:fldChar w:fldCharType="end"/>
            </w:r>
          </w:p>
        </w:tc>
        <w:tc>
          <w:tcPr>
            <w:tcW w:w="992" w:type="dxa"/>
            <w:tcBorders>
              <w:lef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112,5</w:t>
            </w:r>
            <w:r w:rsidRPr="00201A0D">
              <w:rPr>
                <w:rFonts w:ascii="Times New Roman" w:hAnsi="Times New Roman" w:cs="Times New Roman"/>
                <w:sz w:val="20"/>
                <w:szCs w:val="20"/>
              </w:rPr>
              <w:fldChar w:fldCharType="end"/>
            </w:r>
          </w:p>
        </w:tc>
        <w:tc>
          <w:tcPr>
            <w:tcW w:w="993" w:type="dxa"/>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4036028</w:t>
            </w:r>
            <w:r w:rsidRPr="00201A0D">
              <w:rPr>
                <w:rFonts w:ascii="Times New Roman" w:hAnsi="Times New Roman" w:cs="Times New Roman"/>
                <w:sz w:val="20"/>
                <w:szCs w:val="20"/>
              </w:rPr>
              <w:fldChar w:fldCharType="end"/>
            </w:r>
          </w:p>
        </w:tc>
        <w:tc>
          <w:tcPr>
            <w:tcW w:w="992" w:type="dxa"/>
            <w:tcBorders>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1493,5</w:t>
            </w:r>
            <w:r w:rsidRPr="00201A0D">
              <w:rPr>
                <w:rFonts w:ascii="Times New Roman" w:hAnsi="Times New Roman" w:cs="Times New Roman"/>
                <w:sz w:val="20"/>
                <w:szCs w:val="20"/>
              </w:rPr>
              <w:fldChar w:fldCharType="end"/>
            </w:r>
          </w:p>
        </w:tc>
        <w:tc>
          <w:tcPr>
            <w:tcW w:w="992" w:type="dxa"/>
            <w:tcBorders>
              <w:left w:val="single" w:sz="4" w:space="0" w:color="auto"/>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4225748</w:t>
            </w:r>
            <w:r w:rsidRPr="00201A0D">
              <w:rPr>
                <w:rFonts w:ascii="Times New Roman" w:hAnsi="Times New Roman" w:cs="Times New Roman"/>
                <w:sz w:val="20"/>
                <w:szCs w:val="20"/>
              </w:rPr>
              <w:fldChar w:fldCharType="end"/>
            </w:r>
          </w:p>
        </w:tc>
        <w:tc>
          <w:tcPr>
            <w:tcW w:w="992" w:type="dxa"/>
            <w:tcBorders>
              <w:left w:val="single" w:sz="4" w:space="0" w:color="auto"/>
              <w:right w:val="single" w:sz="4" w:space="0" w:color="auto"/>
            </w:tcBorders>
            <w:shd w:val="clear" w:color="auto" w:fill="FFFFFF"/>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1606</w:t>
            </w:r>
            <w:r w:rsidRPr="00201A0D">
              <w:rPr>
                <w:rFonts w:ascii="Times New Roman" w:hAnsi="Times New Roman" w:cs="Times New Roman"/>
                <w:sz w:val="20"/>
                <w:szCs w:val="20"/>
              </w:rPr>
              <w:fldChar w:fldCharType="end"/>
            </w: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при рабочем проектировании учесть дополнительно актуальные нагрузки по потребителям (расход газа). Диаметры газопроводов, производительность и тип ГРП уточняются при выполнении проектной документации по газоснабжению.</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Общий расчетный расход природного сетевого газа на расчетный срок на нужды населения по Едровскому сельскому поселению на 23 населенных пункта, подлежащих газификации (без учета расхода газа на промышленное и сельскохозяйственное потребление), таблица 8.3.5.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8.3.5.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
        <w:gridCol w:w="2538"/>
        <w:gridCol w:w="2116"/>
        <w:gridCol w:w="985"/>
        <w:gridCol w:w="975"/>
        <w:gridCol w:w="2280"/>
      </w:tblGrid>
      <w:tr w:rsidR="00201A0D" w:rsidRPr="00201A0D" w:rsidTr="003E53A7">
        <w:trPr>
          <w:cantSplit/>
          <w:trHeight w:val="496"/>
          <w:tblHeader/>
        </w:trPr>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№п/п</w:t>
            </w:r>
          </w:p>
        </w:tc>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w:t>
            </w:r>
          </w:p>
        </w:tc>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Количество жителей на расчетный срок, человек</w:t>
            </w:r>
          </w:p>
        </w:tc>
        <w:tc>
          <w:tcPr>
            <w:tcW w:w="0" w:type="auto"/>
            <w:gridSpan w:val="2"/>
            <w:tcBorders>
              <w:bottom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Расход газа</w:t>
            </w:r>
          </w:p>
        </w:tc>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Примечание</w:t>
            </w:r>
          </w:p>
        </w:tc>
      </w:tr>
      <w:tr w:rsidR="00201A0D" w:rsidRPr="00201A0D" w:rsidTr="003E53A7">
        <w:trPr>
          <w:cantSplit/>
          <w:trHeight w:val="666"/>
          <w:tblHeader/>
        </w:trPr>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tcBorders>
              <w:top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Годовой,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м3/год</w:t>
            </w:r>
          </w:p>
        </w:tc>
        <w:tc>
          <w:tcPr>
            <w:tcW w:w="0" w:type="auto"/>
            <w:tcBorders>
              <w:top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Часовой,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м3/час</w:t>
            </w:r>
          </w:p>
        </w:tc>
        <w:tc>
          <w:tcPr>
            <w:tcW w:w="0" w:type="auto"/>
            <w:vMerge/>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Афанасово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4065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газоснабжение сжиженным газом</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Бель</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9197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3593227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1538,7</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Гвоздки</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4065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газоснабжение сжиженным газом</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166459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66,0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ГРС «Валдай»</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1581</w:t>
            </w:r>
          </w:p>
        </w:tc>
        <w:tc>
          <w:tcPr>
            <w:tcW w:w="0" w:type="auto"/>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4225748</w:t>
            </w:r>
            <w:r w:rsidRPr="00201A0D">
              <w:rPr>
                <w:rFonts w:ascii="Times New Roman" w:hAnsi="Times New Roman" w:cs="Times New Roman"/>
                <w:sz w:val="20"/>
                <w:szCs w:val="20"/>
              </w:rPr>
              <w:fldChar w:fldCharType="end"/>
            </w:r>
          </w:p>
        </w:tc>
        <w:tc>
          <w:tcPr>
            <w:tcW w:w="0" w:type="auto"/>
            <w:vAlign w:val="center"/>
          </w:tcPr>
          <w:p w:rsidR="00201A0D" w:rsidRPr="00201A0D" w:rsidRDefault="00515F88" w:rsidP="00201A0D">
            <w:pPr>
              <w:spacing w:after="0"/>
              <w:rPr>
                <w:rFonts w:ascii="Times New Roman" w:hAnsi="Times New Roman" w:cs="Times New Roman"/>
                <w:sz w:val="20"/>
                <w:szCs w:val="20"/>
              </w:rPr>
            </w:pPr>
            <w:r w:rsidRPr="00201A0D">
              <w:rPr>
                <w:rFonts w:ascii="Times New Roman" w:hAnsi="Times New Roman" w:cs="Times New Roman"/>
                <w:sz w:val="20"/>
                <w:szCs w:val="20"/>
              </w:rPr>
              <w:fldChar w:fldCharType="begin"/>
            </w:r>
            <w:r w:rsidR="00201A0D" w:rsidRPr="00201A0D">
              <w:rPr>
                <w:rFonts w:ascii="Times New Roman" w:hAnsi="Times New Roman" w:cs="Times New Roman"/>
                <w:sz w:val="20"/>
                <w:szCs w:val="20"/>
              </w:rPr>
              <w:instrText xml:space="preserve"> =SUM(ABOVE) </w:instrText>
            </w:r>
            <w:r w:rsidRPr="00201A0D">
              <w:rPr>
                <w:rFonts w:ascii="Times New Roman" w:hAnsi="Times New Roman" w:cs="Times New Roman"/>
                <w:sz w:val="20"/>
                <w:szCs w:val="20"/>
              </w:rPr>
              <w:fldChar w:fldCharType="separate"/>
            </w:r>
            <w:r w:rsidR="00201A0D" w:rsidRPr="00201A0D">
              <w:rPr>
                <w:rFonts w:ascii="Times New Roman" w:hAnsi="Times New Roman" w:cs="Times New Roman"/>
                <w:sz w:val="20"/>
                <w:szCs w:val="20"/>
              </w:rPr>
              <w:t>1606</w:t>
            </w:r>
            <w:r w:rsidRPr="00201A0D">
              <w:rPr>
                <w:rFonts w:ascii="Times New Roman" w:hAnsi="Times New Roman" w:cs="Times New Roman"/>
                <w:sz w:val="20"/>
                <w:szCs w:val="20"/>
              </w:rPr>
              <w:fldChar w:fldCharType="end"/>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д. Зеленая Роща (с учетом перевода котельной №18 </w:t>
            </w:r>
            <w:r w:rsidRPr="00201A0D">
              <w:rPr>
                <w:rFonts w:ascii="Times New Roman" w:hAnsi="Times New Roman" w:cs="Times New Roman"/>
                <w:sz w:val="20"/>
                <w:szCs w:val="20"/>
              </w:rPr>
              <w:lastRenderedPageBreak/>
              <w:t>на газ)</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111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920116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347,9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ГРС «Валдай»</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Костелёво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4421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42276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17,1</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9197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Марково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4065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газоснабжение сжиженным газом</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99591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39,6</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85262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ГРС «Валдай»</w:t>
            </w:r>
          </w:p>
        </w:tc>
      </w:tr>
      <w:tr w:rsidR="00201A0D" w:rsidRPr="00201A0D" w:rsidTr="003E53A7">
        <w:trPr>
          <w:trHeight w:val="45"/>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Новинка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18750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Плав</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32723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13,3</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70933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28,3</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Семенова Гора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13618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4065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газоснабжение сжиженным газом</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13618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 ГРС «Валдай»</w:t>
            </w: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76421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30,5</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47763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19,3</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4421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предлагается газоснабжение сжиженным газом</w:t>
            </w:r>
          </w:p>
        </w:tc>
      </w:tr>
      <w:tr w:rsidR="00201A0D" w:rsidRPr="00201A0D" w:rsidTr="003E53A7">
        <w:trPr>
          <w:trHeight w:val="448"/>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23881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9,8</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304"/>
        </w:trPr>
        <w:tc>
          <w:tcPr>
            <w:tcW w:w="0" w:type="auto"/>
            <w:gridSpan w:val="2"/>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9473883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3792,9</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Расчетный расход газа от ГРС «Валдай» (д. Добывалово, д. Зеленая Роща, д. Старая Ситенка, д. Новая Ситенка), часовой - 454,4 м3/ч, от ГРС «Едрово»- 3954 м3/ч.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Общий расчетный расход сжиженного газа на населенные пункты, не охваченные газоснабжением природным газом - 616 кг/год.</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В связи со значительным увеличением численности населения на расчетный срок в д. Большое Носакино и развитием территории деревни планируемой жилой и общественно - деловой застройки, общая расчетная потребность газа  (расход) превышает проектную производительность АГРС «Едрово». В связи с чем, для реализации газоснабжения д. Большое Носакино, потребуется реконструкция АГРС «Едрово» с увеличением производительности на 2,5 тыс. м3/ч.</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Предлагается планировать  возможность газоснабжения населенных пунктов Едровского СП природным газом (с прокладкой межпоселковых газопроводов и установок ГРПШ) после техно-экономического обоснования.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Условия прокладки газопровода и размещение ГРП (ГРПШ).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Прокладка распределительных газопроводов в населенных пунктах в основном - подземная. Надземная прокладка допускается только при соответствующем обосновании, не противоречащему требованиям СП 62.13330.2011и СП 42.13330.2011 и ПБ 12-529-03.</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Прокладка газопроводов при пересечении железных и автомобильных дорог I-IV категорий производится подземно, в футлярах, стальных или неметаллических. </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Футляры должны удовлетворять условиям прочности и долговечности. На одном конце футляра следует предусматривать контрольную трубку, выходящую под защитное устройство. Стальной футляр должен </w:t>
      </w:r>
      <w:r w:rsidRPr="00201A0D">
        <w:rPr>
          <w:rFonts w:ascii="Times New Roman" w:hAnsi="Times New Roman" w:cs="Times New Roman"/>
          <w:sz w:val="20"/>
          <w:szCs w:val="20"/>
        </w:rPr>
        <w:lastRenderedPageBreak/>
        <w:t>быть защищен от разрушения средствами ЭХЗ. В других случаях концы футляров должны располагаться на расстоянии:</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не менее </w:t>
      </w:r>
      <w:smartTag w:uri="urn:schemas-microsoft-com:office:smarttags" w:element="metricconverter">
        <w:smartTagPr>
          <w:attr w:name="ProductID" w:val="2 м"/>
        </w:smartTagPr>
        <w:r w:rsidRPr="00201A0D">
          <w:rPr>
            <w:rFonts w:ascii="Times New Roman" w:hAnsi="Times New Roman" w:cs="Times New Roman"/>
            <w:sz w:val="20"/>
            <w:szCs w:val="20"/>
          </w:rPr>
          <w:t>2 м</w:t>
        </w:r>
      </w:smartTag>
      <w:r w:rsidRPr="00201A0D">
        <w:rPr>
          <w:rFonts w:ascii="Times New Roman" w:hAnsi="Times New Roman" w:cs="Times New Roman"/>
          <w:sz w:val="20"/>
          <w:szCs w:val="20"/>
        </w:rPr>
        <w:t xml:space="preserve"> от крайнего рельса железных дорог колеи </w:t>
      </w:r>
      <w:smartTag w:uri="urn:schemas-microsoft-com:office:smarttags" w:element="metricconverter">
        <w:smartTagPr>
          <w:attr w:name="ProductID" w:val="750 мм"/>
        </w:smartTagPr>
        <w:r w:rsidRPr="00201A0D">
          <w:rPr>
            <w:rFonts w:ascii="Times New Roman" w:hAnsi="Times New Roman" w:cs="Times New Roman"/>
            <w:sz w:val="20"/>
            <w:szCs w:val="20"/>
          </w:rPr>
          <w:t>750 мм</w:t>
        </w:r>
      </w:smartTag>
      <w:r w:rsidRPr="00201A0D">
        <w:rPr>
          <w:rFonts w:ascii="Times New Roman" w:hAnsi="Times New Roman" w:cs="Times New Roman"/>
          <w:sz w:val="20"/>
          <w:szCs w:val="20"/>
        </w:rPr>
        <w:t>, а также от края проезжей части улиц;</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не менее </w:t>
      </w:r>
      <w:smartTag w:uri="urn:schemas-microsoft-com:office:smarttags" w:element="metricconverter">
        <w:smartTagPr>
          <w:attr w:name="ProductID" w:val="3 м"/>
        </w:smartTagPr>
        <w:r w:rsidRPr="00201A0D">
          <w:rPr>
            <w:rFonts w:ascii="Times New Roman" w:hAnsi="Times New Roman" w:cs="Times New Roman"/>
            <w:sz w:val="20"/>
            <w:szCs w:val="20"/>
          </w:rPr>
          <w:t>3 м</w:t>
        </w:r>
      </w:smartTag>
      <w:r w:rsidRPr="00201A0D">
        <w:rPr>
          <w:rFonts w:ascii="Times New Roman" w:hAnsi="Times New Roman" w:cs="Times New Roman"/>
          <w:sz w:val="20"/>
          <w:szCs w:val="20"/>
        </w:rPr>
        <w:t xml:space="preserve"> от края водоотводного сооружения дорог (кювета, канавы, резерва) и от крайнего рельса железных дорог не общего пользования, но не менее </w:t>
      </w:r>
      <w:smartTag w:uri="urn:schemas-microsoft-com:office:smarttags" w:element="metricconverter">
        <w:smartTagPr>
          <w:attr w:name="ProductID" w:val="2 м"/>
        </w:smartTagPr>
        <w:r w:rsidRPr="00201A0D">
          <w:rPr>
            <w:rFonts w:ascii="Times New Roman" w:hAnsi="Times New Roman" w:cs="Times New Roman"/>
            <w:sz w:val="20"/>
            <w:szCs w:val="20"/>
          </w:rPr>
          <w:t>2 м</w:t>
        </w:r>
      </w:smartTag>
      <w:r w:rsidRPr="00201A0D">
        <w:rPr>
          <w:rFonts w:ascii="Times New Roman" w:hAnsi="Times New Roman" w:cs="Times New Roman"/>
          <w:sz w:val="20"/>
          <w:szCs w:val="20"/>
        </w:rPr>
        <w:t xml:space="preserve"> от подошвы насыпей.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полиэтиленовых газопроводов на пересечениях железнодорожных и автомобильных дорог I-III категории должны применяться полиэтиленовые трубы ПЭ100 SDR 11 (рабочее давление до 0,6 МПа, коэффициент запаса прочности - 2,8).</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Отключающие устройства, предусмотренные к установке на переходах через железные и автомобильные дороги, следует размещать:</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на тупиковых газопроводах - не далее </w:t>
      </w:r>
      <w:smartTag w:uri="urn:schemas-microsoft-com:office:smarttags" w:element="metricconverter">
        <w:smartTagPr>
          <w:attr w:name="ProductID" w:val="1000 м"/>
        </w:smartTagPr>
        <w:r w:rsidRPr="00201A0D">
          <w:rPr>
            <w:rFonts w:ascii="Times New Roman" w:hAnsi="Times New Roman" w:cs="Times New Roman"/>
            <w:sz w:val="20"/>
            <w:szCs w:val="20"/>
          </w:rPr>
          <w:t>1000 м</w:t>
        </w:r>
      </w:smartTag>
      <w:r w:rsidRPr="00201A0D">
        <w:rPr>
          <w:rFonts w:ascii="Times New Roman" w:hAnsi="Times New Roman" w:cs="Times New Roman"/>
          <w:sz w:val="20"/>
          <w:szCs w:val="20"/>
        </w:rPr>
        <w:t xml:space="preserve"> от перехода (по ходу газа);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на кольцевых газопроводах - по обе стороны перехода на расстоянии не далее </w:t>
      </w:r>
      <w:smartTag w:uri="urn:schemas-microsoft-com:office:smarttags" w:element="metricconverter">
        <w:smartTagPr>
          <w:attr w:name="ProductID" w:val="1000 м"/>
        </w:smartTagPr>
        <w:r w:rsidRPr="00201A0D">
          <w:rPr>
            <w:rFonts w:ascii="Times New Roman" w:hAnsi="Times New Roman" w:cs="Times New Roman"/>
            <w:sz w:val="20"/>
            <w:szCs w:val="20"/>
          </w:rPr>
          <w:t>1000 м</w:t>
        </w:r>
      </w:smartTag>
      <w:r w:rsidRPr="00201A0D">
        <w:rPr>
          <w:rFonts w:ascii="Times New Roman" w:hAnsi="Times New Roman" w:cs="Times New Roman"/>
          <w:sz w:val="20"/>
          <w:szCs w:val="20"/>
        </w:rPr>
        <w:t xml:space="preserve"> от перехода.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пересечении газопроводом водных преград и оврагов  следует учитывать требования п. 5.4 СП 62.13330.2011.</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Размещение газорегуляторного пункта (ГРП) и отдельно стоящих ГРПШ предусматривается на расстоянии до зданий и сооружений и до железнодорожных путей на расстоянии в свету не менее 10метров, до автомобильных дорог, магистральных улиц и дорог (до обочины) - </w:t>
      </w:r>
      <w:smartTag w:uri="urn:schemas-microsoft-com:office:smarttags" w:element="metricconverter">
        <w:smartTagPr>
          <w:attr w:name="ProductID" w:val="5 метров"/>
        </w:smartTagPr>
        <w:r w:rsidRPr="00201A0D">
          <w:rPr>
            <w:rFonts w:ascii="Times New Roman" w:hAnsi="Times New Roman" w:cs="Times New Roman"/>
            <w:sz w:val="20"/>
            <w:szCs w:val="20"/>
          </w:rPr>
          <w:t>5 метров</w:t>
        </w:r>
      </w:smartTag>
      <w:r w:rsidRPr="00201A0D">
        <w:rPr>
          <w:rFonts w:ascii="Times New Roman" w:hAnsi="Times New Roman" w:cs="Times New Roman"/>
          <w:sz w:val="20"/>
          <w:szCs w:val="20"/>
        </w:rPr>
        <w:t>, до воздушных линий электропередачи - не менее 1,5 высоты опоры (табл. 5. СП 62.13330.2011). К ГРП следует предусмотреть подъезд для автотранспорта и рекомендуется проветриваемое ограждение территории высотой 1,6метров.</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Охранные зоны магистральных газопроводов и газораспределительных сетей.</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магистральных газопроводов устанавливаются следующие охранные зоны:</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вдоль трасс трубопроводов, транспортирующих нефть, природный газ, нефтепродукты - в виде участка земли, ограниченного условными линиями, проходящими в 25 м от оси трубопровода с каждой стороны;</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газораспределительных сетей устанавливаются следующие охранные зоны:</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01A0D">
          <w:rPr>
            <w:rFonts w:ascii="Times New Roman" w:hAnsi="Times New Roman" w:cs="Times New Roman"/>
            <w:sz w:val="20"/>
            <w:szCs w:val="20"/>
          </w:rPr>
          <w:t>3 метров</w:t>
        </w:r>
      </w:smartTag>
      <w:r w:rsidRPr="00201A0D">
        <w:rPr>
          <w:rFonts w:ascii="Times New Roman" w:hAnsi="Times New Roman" w:cs="Times New Roman"/>
          <w:sz w:val="20"/>
          <w:szCs w:val="20"/>
        </w:rPr>
        <w:t xml:space="preserve"> от газопровода со стороны провода и </w:t>
      </w:r>
      <w:smartTag w:uri="urn:schemas-microsoft-com:office:smarttags" w:element="metricconverter">
        <w:smartTagPr>
          <w:attr w:name="ProductID" w:val="2 метров"/>
        </w:smartTagPr>
        <w:r w:rsidRPr="00201A0D">
          <w:rPr>
            <w:rFonts w:ascii="Times New Roman" w:hAnsi="Times New Roman" w:cs="Times New Roman"/>
            <w:sz w:val="20"/>
            <w:szCs w:val="20"/>
          </w:rPr>
          <w:t>2 метров</w:t>
        </w:r>
      </w:smartTag>
      <w:r w:rsidRPr="00201A0D">
        <w:rPr>
          <w:rFonts w:ascii="Times New Roman" w:hAnsi="Times New Roman" w:cs="Times New Roman"/>
          <w:sz w:val="20"/>
          <w:szCs w:val="20"/>
        </w:rPr>
        <w:t xml:space="preserve"> - с противоположной стороны);</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вокруг отдельно стоящих газорегуляторных пунктов (ГРП, ГРПШ)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201A0D">
          <w:rPr>
            <w:rFonts w:ascii="Times New Roman" w:hAnsi="Times New Roman" w:cs="Times New Roman"/>
            <w:sz w:val="20"/>
            <w:szCs w:val="20"/>
          </w:rPr>
          <w:t>10 метров</w:t>
        </w:r>
      </w:smartTag>
      <w:r w:rsidRPr="00201A0D">
        <w:rPr>
          <w:rFonts w:ascii="Times New Roman" w:hAnsi="Times New Roman" w:cs="Times New Roman"/>
          <w:sz w:val="20"/>
          <w:szCs w:val="20"/>
        </w:rPr>
        <w:t xml:space="preserve"> от границ этих объектов. Для газорегуляторных пунктов, пристроенных к зданиям, охранная зона не регламентируется;</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201A0D">
          <w:rPr>
            <w:rFonts w:ascii="Times New Roman" w:hAnsi="Times New Roman" w:cs="Times New Roman"/>
            <w:sz w:val="20"/>
            <w:szCs w:val="20"/>
          </w:rPr>
          <w:t>100 м</w:t>
        </w:r>
      </w:smartTag>
      <w:r w:rsidRPr="00201A0D">
        <w:rPr>
          <w:rFonts w:ascii="Times New Roman" w:hAnsi="Times New Roman" w:cs="Times New Roman"/>
          <w:sz w:val="20"/>
          <w:szCs w:val="20"/>
        </w:rPr>
        <w:t xml:space="preserve"> с каждой стороны газопровода.</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Условия использования земельных участков, расположенных в пределах охранной зоны, определяются в соответствии с действующим законодательством РФ.</w:t>
      </w:r>
    </w:p>
    <w:p w:rsidR="00201A0D" w:rsidRPr="00201A0D" w:rsidRDefault="00201A0D" w:rsidP="003C0C73">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Основные объемы по газоснабжению Едровского СП, таблица 8.3.6.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8.3.6.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
        <w:gridCol w:w="3607"/>
        <w:gridCol w:w="1605"/>
        <w:gridCol w:w="1735"/>
        <w:gridCol w:w="1984"/>
      </w:tblGrid>
      <w:tr w:rsidR="00201A0D" w:rsidRPr="00201A0D" w:rsidTr="00201A0D">
        <w:trPr>
          <w:cantSplit/>
          <w:tblHeader/>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п/п</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показателей</w:t>
            </w:r>
          </w:p>
        </w:tc>
        <w:tc>
          <w:tcPr>
            <w:tcW w:w="170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Единица измерений</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Показатели</w:t>
            </w: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Примечания</w:t>
            </w:r>
          </w:p>
        </w:tc>
      </w:tr>
      <w:tr w:rsidR="00201A0D" w:rsidRPr="00201A0D" w:rsidTr="00201A0D">
        <w:trPr>
          <w:trHeight w:val="1200"/>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Общая протяженность  газопроводов том числе: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-высокого давления, стальной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-среднего давления, полиэтиленовый</w:t>
            </w:r>
          </w:p>
        </w:tc>
        <w:tc>
          <w:tcPr>
            <w:tcW w:w="170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w:t>
            </w: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Газопровод подземный</w:t>
            </w:r>
          </w:p>
        </w:tc>
      </w:tr>
      <w:tr w:rsidR="00201A0D" w:rsidRPr="00201A0D" w:rsidTr="00201A0D">
        <w:trPr>
          <w:trHeight w:val="998"/>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Газорегуляторные пункты отдельно стоящие, в том числе: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-ГРП </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ГРПШ</w:t>
            </w:r>
          </w:p>
        </w:tc>
        <w:tc>
          <w:tcPr>
            <w:tcW w:w="1701" w:type="dxa"/>
            <w:vAlign w:val="center"/>
          </w:tcPr>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шт.</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шт.</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434"/>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Переход через водную преграду</w:t>
            </w:r>
          </w:p>
        </w:tc>
        <w:tc>
          <w:tcPr>
            <w:tcW w:w="170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шт.</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461"/>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4</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Переход через автодорогу</w:t>
            </w:r>
          </w:p>
        </w:tc>
        <w:tc>
          <w:tcPr>
            <w:tcW w:w="170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шт.</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 сущ.</w:t>
            </w:r>
          </w:p>
        </w:tc>
      </w:tr>
      <w:tr w:rsidR="00201A0D" w:rsidRPr="00201A0D" w:rsidTr="00201A0D">
        <w:trPr>
          <w:trHeight w:val="461"/>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Переход через железнодорожные пути</w:t>
            </w:r>
          </w:p>
        </w:tc>
        <w:tc>
          <w:tcPr>
            <w:tcW w:w="170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шт.</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 сущ.</w:t>
            </w:r>
          </w:p>
        </w:tc>
      </w:tr>
      <w:tr w:rsidR="00201A0D" w:rsidRPr="00201A0D" w:rsidTr="00201A0D">
        <w:trPr>
          <w:trHeight w:val="461"/>
        </w:trPr>
        <w:tc>
          <w:tcPr>
            <w:tcW w:w="67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397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Пересечение магистрального газопровода</w:t>
            </w:r>
          </w:p>
        </w:tc>
        <w:tc>
          <w:tcPr>
            <w:tcW w:w="1701"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шт.</w:t>
            </w:r>
          </w:p>
        </w:tc>
        <w:tc>
          <w:tcPr>
            <w:tcW w:w="1843" w:type="dxa"/>
            <w:tcBorders>
              <w:right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2126" w:type="dxa"/>
            <w:tcBorders>
              <w:left w:val="single" w:sz="4" w:space="0" w:color="auto"/>
            </w:tcBorders>
            <w:vAlign w:val="center"/>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bookmarkStart w:id="75" w:name="_Toc343149548"/>
      <w:bookmarkStart w:id="76" w:name="_Toc433382438"/>
      <w:r w:rsidRPr="00201A0D">
        <w:rPr>
          <w:rFonts w:ascii="Times New Roman" w:hAnsi="Times New Roman" w:cs="Times New Roman"/>
          <w:sz w:val="20"/>
          <w:szCs w:val="20"/>
        </w:rPr>
        <w:t>8.4. Связ</w:t>
      </w:r>
      <w:bookmarkEnd w:id="75"/>
      <w:r w:rsidRPr="00201A0D">
        <w:rPr>
          <w:rFonts w:ascii="Times New Roman" w:hAnsi="Times New Roman" w:cs="Times New Roman"/>
          <w:sz w:val="20"/>
          <w:szCs w:val="20"/>
        </w:rPr>
        <w:t>ь.</w:t>
      </w:r>
      <w:bookmarkEnd w:id="76"/>
    </w:p>
    <w:p w:rsidR="00201A0D" w:rsidRPr="00201A0D" w:rsidRDefault="00201A0D" w:rsidP="00201A0D">
      <w:pPr>
        <w:spacing w:after="0"/>
        <w:rPr>
          <w:rFonts w:ascii="Times New Roman" w:hAnsi="Times New Roman" w:cs="Times New Roman"/>
          <w:sz w:val="20"/>
          <w:szCs w:val="20"/>
        </w:rPr>
      </w:pPr>
      <w:bookmarkStart w:id="77" w:name="_Toc343149549"/>
      <w:r w:rsidRPr="00201A0D">
        <w:rPr>
          <w:rFonts w:ascii="Times New Roman" w:hAnsi="Times New Roman" w:cs="Times New Roman"/>
          <w:sz w:val="20"/>
          <w:szCs w:val="20"/>
        </w:rPr>
        <w:t>Населенные пункты Едровского СП имеют сети телефона с вводами в общественные здания и жилые дома, также имеются сети сотовой связи.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Обеспеченность населенных пунктов Едровского СП средствами связи согласно паспорту муниципального образования Едровское СП приведена ниже.</w:t>
      </w:r>
    </w:p>
    <w:p w:rsidR="00201A0D" w:rsidRPr="00201A0D" w:rsidRDefault="00201A0D" w:rsidP="00201A0D">
      <w:pPr>
        <w:spacing w:after="0"/>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8"/>
        <w:gridCol w:w="2300"/>
        <w:gridCol w:w="2037"/>
        <w:gridCol w:w="2448"/>
      </w:tblGrid>
      <w:tr w:rsidR="00201A0D" w:rsidRPr="00201A0D" w:rsidTr="003C0C73">
        <w:trPr>
          <w:cantSplit/>
          <w:tblHeader/>
        </w:trPr>
        <w:tc>
          <w:tcPr>
            <w:tcW w:w="0" w:type="auto"/>
            <w:tcBorders>
              <w:bottom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населенного пункта МО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Количество телефонных номеров</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 том числе используемых</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Наличие операторов сотовой связи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(указать наименование компании)</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МТС, Мегафон, Билайн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Афанасово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Бель</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Гвоздки</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МТС, Билайн.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Костелёво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Марково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Новинка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МТС, Мегафон, Билайн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Плав</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МТС, Мегафон, Билайн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r w:rsidR="00201A0D" w:rsidRPr="00201A0D" w:rsidTr="003C0C73">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Мегафон</w:t>
            </w: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Почтовые отделения связи на территории Едровского СП.</w:t>
      </w:r>
    </w:p>
    <w:p w:rsidR="00201A0D" w:rsidRPr="00201A0D" w:rsidRDefault="00201A0D" w:rsidP="00201A0D">
      <w:pPr>
        <w:spacing w:after="0"/>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83"/>
        <w:gridCol w:w="3827"/>
      </w:tblGrid>
      <w:tr w:rsidR="00201A0D" w:rsidRPr="00201A0D" w:rsidTr="003C0C73">
        <w:tc>
          <w:tcPr>
            <w:tcW w:w="0" w:type="auto"/>
            <w:tcBorders>
              <w:bottom w:val="single" w:sz="4" w:space="0" w:color="auto"/>
            </w:tcBorders>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населенного пункта МО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Наличие отделения связи</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(почтовый адрес)</w:t>
            </w:r>
          </w:p>
        </w:tc>
      </w:tr>
      <w:tr w:rsidR="00201A0D" w:rsidRPr="00201A0D" w:rsidTr="003C0C73">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175420, дер. Добывалово, дом 29</w:t>
            </w:r>
          </w:p>
        </w:tc>
      </w:tr>
      <w:tr w:rsidR="00201A0D" w:rsidRPr="00201A0D" w:rsidTr="003C0C73">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175929, с. Едрово, ул. Московская, дом 13</w:t>
            </w:r>
          </w:p>
        </w:tc>
      </w:tr>
      <w:tr w:rsidR="00201A0D" w:rsidRPr="00201A0D" w:rsidTr="003C0C73">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175442, д. Красилово</w:t>
            </w:r>
          </w:p>
        </w:tc>
      </w:tr>
      <w:tr w:rsidR="00201A0D" w:rsidRPr="00201A0D" w:rsidTr="003C0C73">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175444, д. Наволок, дом 4</w:t>
            </w: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Изменениями в генеральный план планируется размещение антенномачтового сооружения связи в д. Большое Носакино.</w:t>
      </w:r>
    </w:p>
    <w:p w:rsidR="00201A0D" w:rsidRPr="00201A0D" w:rsidRDefault="00201A0D" w:rsidP="00201A0D">
      <w:pPr>
        <w:spacing w:after="0"/>
        <w:rPr>
          <w:rFonts w:ascii="Times New Roman" w:hAnsi="Times New Roman" w:cs="Times New Roman"/>
          <w:sz w:val="20"/>
          <w:szCs w:val="20"/>
        </w:rPr>
      </w:pPr>
      <w:bookmarkStart w:id="78" w:name="_Toc433382439"/>
      <w:r w:rsidRPr="00201A0D">
        <w:rPr>
          <w:rFonts w:ascii="Times New Roman" w:hAnsi="Times New Roman" w:cs="Times New Roman"/>
          <w:sz w:val="20"/>
          <w:szCs w:val="20"/>
        </w:rPr>
        <w:t>8.5. Электроснабжени</w:t>
      </w:r>
      <w:bookmarkEnd w:id="77"/>
      <w:r w:rsidRPr="00201A0D">
        <w:rPr>
          <w:rFonts w:ascii="Times New Roman" w:hAnsi="Times New Roman" w:cs="Times New Roman"/>
          <w:sz w:val="20"/>
          <w:szCs w:val="20"/>
        </w:rPr>
        <w:t>е.</w:t>
      </w:r>
      <w:bookmarkEnd w:id="78"/>
    </w:p>
    <w:p w:rsidR="00201A0D" w:rsidRPr="00201A0D" w:rsidRDefault="00201A0D" w:rsidP="00201A0D">
      <w:pPr>
        <w:spacing w:after="0"/>
        <w:rPr>
          <w:rFonts w:ascii="Times New Roman" w:hAnsi="Times New Roman" w:cs="Times New Roman"/>
          <w:sz w:val="20"/>
          <w:szCs w:val="20"/>
        </w:rPr>
      </w:pPr>
      <w:bookmarkStart w:id="79" w:name="_Toc343149550"/>
      <w:r w:rsidRPr="00201A0D">
        <w:rPr>
          <w:rFonts w:ascii="Times New Roman" w:hAnsi="Times New Roman" w:cs="Times New Roman"/>
          <w:sz w:val="20"/>
          <w:szCs w:val="20"/>
        </w:rPr>
        <w:t>Проект электроснабжения проектируемых территорий Едровского сельского поселения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Проектом учтены все предусмотренные генеральным планом потребители, расположенные на проектируемых территориях.</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Электроснабжение Едровского сельского поселения выполняется от сетей филиала ОАО «МРСК Северо-Запада» «Новгородэнерго» «Валдайские электрические сети» «Валдайский РЭС».</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Линии, питающие Едровское сельское поселение.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Л-3 ПС 35/10 «Выползово» с трансформаторной мощностью 3136 кВА питает с.Едрово, д.Большое Носакино, д.Среднее Носакино и д.Рядчино.</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Л-11 ПС 35/10 «Выползово» с трансформаторной мощностью 3163 кВА из них Едровское сельское поселение - 2500 кВА – 10 трансформаторов.</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Л-2 ПС 35/10 «Б.Уклейно» с трансформаторной мощностью 1507 кВА из них Едровское сельское поселение – 1362 кВА.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Л-12 ПС 110/35/10 «Валдай» с трансформаторной мощностью 3483 кВА из них Едровское сельское поселение 1754 кВА.</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Линии, питающие Едровское сельское поселение, выполнены проводами АС-70, А-70, СИП-3, АС-35 и АС-25, которые соответствуют нормам и проводами А-50 – 0,8км, А-35 – 30,44км и А-25 – 1,13км, которые должны быть заменены на АС-50 и АС-35 при реконструкции линий: Л-2 ПС «Б.Уклейно», Л-3 ПС «Выползово» и Л-12 ПС «Валдай» в соответствии с ПУЭ 7 изд. Табл.2.5.5.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Наличие электроэнергетики на территории МО приведено в таблице 8.5.1.</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Таблица 8.5.1.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3583"/>
        <w:gridCol w:w="1217"/>
      </w:tblGrid>
      <w:tr w:rsidR="00201A0D" w:rsidRPr="00201A0D" w:rsidTr="00B612E4">
        <w:trPr>
          <w:cantSplit/>
          <w:trHeight w:val="357"/>
          <w:tblHeader/>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Показатель</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населенного пункта МО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Количество</w:t>
            </w:r>
          </w:p>
        </w:tc>
      </w:tr>
      <w:tr w:rsidR="00201A0D" w:rsidRPr="00201A0D" w:rsidTr="00B612E4">
        <w:tc>
          <w:tcPr>
            <w:tcW w:w="0" w:type="auto"/>
            <w:vMerge w:val="restart"/>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Трансформаторная подстанция</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Афанасово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Бель</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Ванютино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Гвоздки</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Добывалово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Зелёная Роща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Костелёво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Красилово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Макушино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Марково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Наволок</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Новинка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Плав</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Речка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Рядчино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Селище</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Семёнова Гора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Среднее Носакино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Старая Ситенка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Старина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Старово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Труфаново</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B612E4">
        <w:tc>
          <w:tcPr>
            <w:tcW w:w="0" w:type="auto"/>
            <w:vMerge/>
          </w:tcPr>
          <w:p w:rsidR="00201A0D" w:rsidRPr="00201A0D" w:rsidRDefault="00201A0D" w:rsidP="00201A0D">
            <w:pPr>
              <w:spacing w:after="0"/>
              <w:rPr>
                <w:rFonts w:ascii="Times New Roman" w:hAnsi="Times New Roman" w:cs="Times New Roman"/>
                <w:sz w:val="20"/>
                <w:szCs w:val="20"/>
              </w:rPr>
            </w:pP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 Харитониха</w:t>
            </w:r>
          </w:p>
        </w:tc>
        <w:tc>
          <w:tcPr>
            <w:tcW w:w="0" w:type="auto"/>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bl>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 проектируемых территориях электроснабжение отсутствует.</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Проектное предложение.</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 Едрово.</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Опорным центром питания с. Едрово является ПС 35/10 кВ «Выползово».</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Электроснабжение с. Едрово осуществляется на напряжении 10 кВ по двум ВЛ-10кВ Л-3 и Л-11 ПС 35/10 «Выползово». Линии находятся в удовлетворительном состоянии. Ориентировочная нагрузка линий составляет - Л-3 = 1,6 МВт (трансформаторная мощность 3,136 мВА), Л-11 = 1,6 МВт (трансформаторная мощность 3,163 мВА).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построения электрических сетей 10 кВ в однозвеньевая с подключением сетей непосредственно к ЦП.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проектируемых территориях электроснабжение отсутствует.</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 электрических нагрузок.</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Нагрузки потребителей на проектируемых территориях с. Едрово Едровского сельского поселения подсчитаны на основе архитектурно-планировочных решений генплана в соответствии с СП 42.13330.2011 «Градостроительство. Планировка и застройка городских и сельских поселений», СП 31-110-2003 «Проектирование и монтаж электроустановок жилых и общественных зданий» и «Инструкцией по проектированию городских электрических сетей» РД 34.20.185-94.</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Расчетные нагрузки на новое жилищное строительство в соответствии с «Инструкцией по проектированию городских электрических сетей» РД 34.20.185-94.   учитывают нагрузки жилых и общественных зданий поселкового (микрорайонного) значения ( встроенно-пристроеные и отдельно-стоящие объекты - магазины, аптеки, отделения связи, банки, административные здания, предприятия КБО, учреждения образования, лечебные, зрелищные, спортивные), нагрузки коммунальных предприятий, объектов транспортного обслуживания, наружного освещения.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расчете нагрузок предусматривается дополнительно 15%-20% резерва мощности нагрузок.</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Потребляемая мощность приведена к шинам 10кВ центров питания с учетом совмещения максимумов.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Удельная расчетная коммунально-бытовая нагрузка на 1 чел. составляет 0,41кВт/чел (табл. 2.4.3 РД).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Удельное электропотребление на 1 чел. в год составляет 2170 кВт.*ч/год при годовом числе часов использования максимума электрической нагрузки 5300 час (табл. 2.4.4 РД).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Средневзвешенный cosf = 0,96.</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Пищеприготовление – газовые плиты.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Нагрузки приведены с учетом кондиционирования.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Суммарные электрические нагрузки.</w:t>
      </w:r>
    </w:p>
    <w:p w:rsidR="00201A0D" w:rsidRPr="00201A0D" w:rsidRDefault="00201A0D" w:rsidP="00201A0D">
      <w:pPr>
        <w:spacing w:after="0"/>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
        <w:gridCol w:w="1723"/>
        <w:gridCol w:w="1396"/>
        <w:gridCol w:w="1728"/>
        <w:gridCol w:w="1286"/>
        <w:gridCol w:w="566"/>
        <w:gridCol w:w="1288"/>
        <w:gridCol w:w="934"/>
      </w:tblGrid>
      <w:tr w:rsidR="00201A0D" w:rsidRPr="00201A0D" w:rsidTr="003E53A7">
        <w:trPr>
          <w:trHeight w:val="527"/>
        </w:trPr>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п/п</w:t>
            </w:r>
          </w:p>
        </w:tc>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потребителя</w:t>
            </w:r>
          </w:p>
        </w:tc>
        <w:tc>
          <w:tcPr>
            <w:tcW w:w="0" w:type="auto"/>
            <w:gridSpan w:val="5"/>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данные</w:t>
            </w:r>
          </w:p>
        </w:tc>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Примеч.</w:t>
            </w:r>
          </w:p>
        </w:tc>
      </w:tr>
      <w:tr w:rsidR="00201A0D" w:rsidRPr="00201A0D" w:rsidTr="003E53A7">
        <w:trPr>
          <w:trHeight w:val="700"/>
        </w:trPr>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 существ. чел.</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Населениена новых участках чел.</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 расч. на шинах 10 кВ ЦП МВт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cosf</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Sрасч. на шинах 10 кВ ЦП МВА</w:t>
            </w:r>
          </w:p>
        </w:tc>
        <w:tc>
          <w:tcPr>
            <w:tcW w:w="0" w:type="auto"/>
            <w:vMerge/>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710"/>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 ИЖС, кваралы 1-6;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 ОД, квартал.7;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0,130</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0,135</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0,022</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3E53A7">
        <w:trPr>
          <w:trHeight w:val="417"/>
        </w:trPr>
        <w:tc>
          <w:tcPr>
            <w:tcW w:w="0" w:type="auto"/>
            <w:vAlign w:val="center"/>
          </w:tcPr>
          <w:p w:rsidR="00201A0D" w:rsidRPr="00201A0D" w:rsidRDefault="00201A0D" w:rsidP="00201A0D">
            <w:pPr>
              <w:spacing w:after="0"/>
              <w:rPr>
                <w:rFonts w:ascii="Times New Roman" w:hAnsi="Times New Roman" w:cs="Times New Roman"/>
                <w:sz w:val="20"/>
                <w:szCs w:val="20"/>
              </w:rPr>
            </w:pP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0,157</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r>
    </w:tbl>
    <w:p w:rsidR="00201A0D" w:rsidRPr="00201A0D" w:rsidRDefault="00201A0D" w:rsidP="00201A0D">
      <w:pPr>
        <w:spacing w:after="0"/>
        <w:rPr>
          <w:rFonts w:ascii="Times New Roman" w:hAnsi="Times New Roman" w:cs="Times New Roman"/>
          <w:sz w:val="20"/>
          <w:szCs w:val="20"/>
        </w:rPr>
      </w:pP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 результатам расчетов: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Суммарный прирост электрической нагрузки на шинах 10 кВ Центра питания (ЦП) ПС 110/35/10 составит - 0,15 МВт (0,157 МВА, при при cosf = 0,96).</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 минимально требуемой трансформаторной мощности в проектируемых кварталах с. Едрово поселения, в том числе: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1. ИЖС, кварталы 1-6 и ОД квартал 7:</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Sтр = 150/(0,75*0,8*0,96)=260 кВА.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где: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150кВт - нагрузка на шинах 10 кВ ЦП;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0,75 – коэффициент участия в максимуме «Ку» табл.2.4.1 РД;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0,8 – рекомендуемый средний коэффициент загрузки трансформаторов в нормальном режиме в резервируемых (ОД) и нерезервируемых (ИЖС) сетях 0,38 кВ по ГОСТ14209-85*;</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0,96 – cosf.</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 целью снижения потерь электроэнергии в проектируемых сетях 0,38кВ  и размещения ТП в центрах нагрузок к установке принимаем 1 новую БКТП-2*160кВА. Питание проектируемой ТП на напряжении 10 кВ предполагается отпаечной ВЛЗ-10кВ от существующей ВЛ-10 кВ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поселковых сетей.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сетей 10 кВ запроектирована по однозвеньевой (ЦП-ТП) схеме.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Проектируемая распределительная воздушная сеть 10 кВ предусматривается самонесущими изолированными проводами типа СИП-3 на ж/б или деревянных опорах. Рекомендуемое сечение распределительных линий не менее 70 мм2.</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покрытия возрастающих нагрузок и создания условий для нормального развития города проектом предполагается строительство потребительских ТП, а также линейных сооружений – питающих и распределительных линий 10 кВ и распределительных линий 0,4 кВ (ВЛИ - 0,4 кВ) совмещенных с сетью наружного освещения (пятый провод) в кварталах индивидуальной застройки (ИЖС).</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1. Строительство распределительных воздушных отпаечных линий ВЛЗ 10 кВ проводами типа СИП-3 на ж/б или деревянных опорах от существующей ВЛ-10 кВ до новой ТП на проектируемых участках. Протяженность новых распределительных воздушных линий 10 кВ составит ориентировочно 0,6 км.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2. Строительство 1 новой БКТП-2*160 кВА.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3. Предусматривается строительство распределительных линий ВЛИ - 0,4 кВ совмещенных с сетью наружного освещения (пятый провод) в кварталах индивидуальной застройки (ИЖС). Протяженность новых распределительных воздушных линий ВЛИ - 0,4 кВ составит ориентировочно 2,6 км.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Необходимость реконструкции существующих сетей 0,4 и 10 кВ, а также существующих ТП определяется владельцем сетей.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Надежность электроснабжения.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сетей 10 кВ запроектирована по однозвеньевой (ЦП-ТП) схеме.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построения распределительной сети петлевая с секционированием с обеспечением двухстороннего питания двухтрансформаторной ТП.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Проектируемые потребители индивидуальной жилой застройки (ИЖС) 3-й категории надежности электроснабжения, к 2-й категории относится участок ОД застройки (квартал 7) Потребители 2-й категории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переключения на резервный источник (ручного или АВР) на вводе у потребителя.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Деревня Большое Носакино.</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Существующее положение.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Опорным центром питания д. Большое Носакино является ПС 35/10 кВ «Выползово»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Электроснабжение д. Большое Носакино осуществляется на напряжении 10 кВ по  ВЛ-10кВ Л-3 ПС 35/10 «Выползово». Линия находятся в удовлетворительном состоянии. Ориентировочная нагрузка линии составляет - 1,6МВт (трансформаторная мощность 3,136мВА).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Схема построения электрических сетей 10 кВ в однозвеньевая с подключением сетей непосредственно к ЦП.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 территориях населенного пункта установлено 2 КТП-10/0,4кВ. Данных об установленной трансформаторной мощности и расчетных нагрузках нет.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Проектные решения.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Расчет электрических нагрузок.</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Нагрузки потребителей жилищно-коммунального сектора подсчитаны на основе архитектурно-планировочных решений генплана в соответствии с СП 42.13330.2011  «Градостроительство. Планировка и застройка городских и сельских поселений», СП 31-110-2003 «Проектирование и монтаж электроустановок </w:t>
      </w:r>
      <w:r w:rsidRPr="00201A0D">
        <w:rPr>
          <w:rFonts w:ascii="Times New Roman" w:hAnsi="Times New Roman" w:cs="Times New Roman"/>
          <w:sz w:val="20"/>
          <w:szCs w:val="20"/>
        </w:rPr>
        <w:lastRenderedPageBreak/>
        <w:t xml:space="preserve">жилых и общественных зданий» и «Инструкцией по проектированию городских электрических сетей» РД 34.20.185-94.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ab/>
        <w:t>При расчете нагрузок предусматривается дополнительно 15%-20% резерва мощности на неучтенные потребители и рост нагрузок.</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ab/>
        <w:t>Потребляемая мощность приведена к шинам 10 кВ центров питания (ПС 110/10(6)) с учетом совмещения максимумов.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ab/>
        <w:t>Удельная расчетная коммунально-бытовая нагрузка на 1 чел. составляет</w:t>
      </w:r>
      <w:r w:rsidRPr="00201A0D">
        <w:rPr>
          <w:rFonts w:ascii="Times New Roman" w:hAnsi="Times New Roman" w:cs="Times New Roman"/>
          <w:sz w:val="20"/>
          <w:szCs w:val="20"/>
        </w:rPr>
        <w:tab/>
      </w:r>
      <w:r w:rsidRPr="00201A0D">
        <w:rPr>
          <w:rFonts w:ascii="Times New Roman" w:hAnsi="Times New Roman" w:cs="Times New Roman"/>
          <w:sz w:val="20"/>
          <w:szCs w:val="20"/>
        </w:rPr>
        <w:tab/>
        <w:t xml:space="preserve"> (табл. 2.4.3 РД):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0,41 кВт/чел с плитами на природном газе;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2170 кВт*ч/год при годовом числе часов использования максимума электрической нагрузки 5300 час с плитами на природном газе;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Пищеприготовление – газовые плиты.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Все нагрузки приведены с учетом кондиционирования.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Суммарные электрические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
        <w:gridCol w:w="1930"/>
        <w:gridCol w:w="1565"/>
        <w:gridCol w:w="1682"/>
        <w:gridCol w:w="1598"/>
        <w:gridCol w:w="566"/>
        <w:gridCol w:w="1601"/>
      </w:tblGrid>
      <w:tr w:rsidR="00201A0D" w:rsidRPr="00201A0D" w:rsidTr="00201A0D">
        <w:trPr>
          <w:cantSplit/>
          <w:trHeight w:val="527"/>
          <w:tblHeader/>
        </w:trPr>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пп</w:t>
            </w:r>
          </w:p>
        </w:tc>
        <w:tc>
          <w:tcPr>
            <w:tcW w:w="0" w:type="auto"/>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потребителя</w:t>
            </w:r>
          </w:p>
        </w:tc>
        <w:tc>
          <w:tcPr>
            <w:tcW w:w="0" w:type="auto"/>
            <w:gridSpan w:val="5"/>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Расчетные данные</w:t>
            </w:r>
          </w:p>
        </w:tc>
      </w:tr>
      <w:tr w:rsidR="00201A0D" w:rsidRPr="00201A0D" w:rsidTr="00201A0D">
        <w:trPr>
          <w:cantSplit/>
          <w:trHeight w:val="700"/>
          <w:tblHeader/>
        </w:trPr>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vMerge/>
            <w:vAlign w:val="center"/>
          </w:tcPr>
          <w:p w:rsidR="00201A0D" w:rsidRPr="00201A0D" w:rsidRDefault="00201A0D" w:rsidP="00201A0D">
            <w:pPr>
              <w:spacing w:after="0"/>
              <w:rPr>
                <w:rFonts w:ascii="Times New Roman" w:hAnsi="Times New Roman" w:cs="Times New Roman"/>
                <w:sz w:val="20"/>
                <w:szCs w:val="20"/>
              </w:rPr>
            </w:pP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 чел. существ.</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 чел. проектир.</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 расч. на шинах 10 кВ ЦП МВт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cosf</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Sрасч. на шинах 10 кВ ЦП МВА</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ИЖС, Таунхаус</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1867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1,160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1,210</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НВУЗ, </w:t>
            </w:r>
          </w:p>
        </w:tc>
        <w:tc>
          <w:tcPr>
            <w:tcW w:w="0" w:type="auto"/>
            <w:vAlign w:val="center"/>
          </w:tcPr>
          <w:p w:rsidR="00201A0D" w:rsidRPr="00201A0D" w:rsidRDefault="00201A0D" w:rsidP="00201A0D">
            <w:pPr>
              <w:spacing w:after="0"/>
              <w:rPr>
                <w:rFonts w:ascii="Times New Roman" w:hAnsi="Times New Roman" w:cs="Times New Roman"/>
                <w:sz w:val="20"/>
                <w:szCs w:val="20"/>
              </w:rPr>
            </w:pP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0,087</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База отдыха,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0,016</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кафе,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0,043</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поликлиника,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47 посещений</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 койко-мест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0,043</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Центр боевых искусств,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450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0,065</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КВЦ,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0,065</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ОД, администр</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 м2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0,005</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торговля,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750 м2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0,087</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ТРЦ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 м2 (торг.)</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Досуг, кинотеатр -200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0,120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0,130</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ресторан, ДДОУ, школа,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150 мест,</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154 мест,</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257 уч.</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0,250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0,272</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адм., гостин.,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60 м2,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0,022</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адм., оздор. комплекс,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130 м2,</w:t>
            </w:r>
          </w:p>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0,043</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автостанция,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0,011</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гостин.,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0,022</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16</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ОД, гостин., </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300 мест</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0.92</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0,109</w:t>
            </w:r>
          </w:p>
        </w:tc>
      </w:tr>
      <w:tr w:rsidR="00201A0D" w:rsidRPr="00201A0D" w:rsidTr="00201A0D">
        <w:trPr>
          <w:trHeight w:val="397"/>
        </w:trPr>
        <w:tc>
          <w:tcPr>
            <w:tcW w:w="0" w:type="auto"/>
            <w:vAlign w:val="center"/>
          </w:tcPr>
          <w:p w:rsidR="00201A0D" w:rsidRPr="00201A0D" w:rsidRDefault="00201A0D" w:rsidP="00201A0D">
            <w:pPr>
              <w:spacing w:after="0"/>
              <w:rPr>
                <w:rFonts w:ascii="Times New Roman" w:hAnsi="Times New Roman" w:cs="Times New Roman"/>
                <w:sz w:val="20"/>
                <w:szCs w:val="20"/>
              </w:rPr>
            </w:pP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ВСЕГО:</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2355</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2,090</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0,94</w:t>
            </w:r>
          </w:p>
        </w:tc>
        <w:tc>
          <w:tcPr>
            <w:tcW w:w="0" w:type="auto"/>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2,230</w:t>
            </w:r>
          </w:p>
        </w:tc>
      </w:tr>
    </w:tbl>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По результатам расчетов: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Суммарный прирост электрических нагрузок на шинах 10(6) кВ источников питания (ПС 35/10 «Выползово») составит 2,090 МВт (2,230МВА).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Расчет необходимой трансформаторной мощности 10/0,4кВ в кВА и количества трансформаторных подстанций для электроснабжения на проектируемых территориях:</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1.1 ИЖС, Таунхаус ( 3 категория):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Sтр = 230 / (0,7*0,85*0,96)=2031 кВА.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где: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1160 кВт - нагрузка. на шинах 10 кВ ЦП;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0,7 – коэффициент участия в максимуме «Ку» табл.2.4.1 РД;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0,85 – рекомендуемый средний коэффициент загрузки трансформаторов в нормальном режиме в нерезервируемых сетях 0,38кВ по ГОСТ14209-85*;</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0,96 – cosf.</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1.2 ОД застройка ( 2 категория):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Sтр =930/(0,7*0,7*0,92)=2063 кВА.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где: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930 кВт - нагрузка. на шинах 10(6) кВ ЦП;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0,7 – коэффициент участия в максимуме «Ку» табл.2.4.1 РД;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0,7 – рекомендуемый средний коэффициент загрузки трансформаторов в нормальном режиме в резервируемых сетях 0,38кВ по ГОСТ14209-85*;</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0,92 – средневзвешенный cosf.</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поселковых сетей.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Схема сетей 10 кВ запроектирована по двухзвеньевой (ЦП – РТП-ТП) схеме.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Проектируемая питающая воздушная сеть 10 кВ предусматривается самонесущими изолированными проводами типа СИП-3 на ж/б или деревянных опорах. Рекомендуемое сечение питающих линий не менее 95 мм2, распределительных (отпаечных) линий не менее 50 мм2.</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Схема построения сети 10кВ петлевая с обеспечением двухстороннего питания каждой двухтрансформаторной ТП, а также радиальная к однотрансформаторным ТП.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покрытия возрастающих нагрузок и создания условий для нормального развития города проектом предполагается строительство новых потребительских ТП, а также линейных сооружений – питающих воздушных и кабельных линий 10 кВ и распределительных линий 0,4 кВ (ВЛИ-0,4 кВ) совмещенных с сетью наружного освещения (пятый провод) в кварталах жилой застройки (ИЖС и Таунхаус)).</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Проектом предполагается: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Строительство питающих и распределительных воздушных линий ВЛЗ 10кВ  проводами типа СИП-3* 3(1*50-95мм2) на ж/б или деревянных опорах до новых ТП на проектируемых участках.</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новых питающих воздушных линий ВЛЗ-10кВ составит ориентировочно 15,8 км в том числе: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одноцепных – 1,8 км, в том числе с совместной подвеской ВЛИ-0,4 кВ – 1,4 км;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двухцепных – 14 км (10 км Л-3 от ПС-35/10 «Выползово» до д. Большое Носакино), в том числе с совместной подвеской ВЛИ-0,4кВ – 2,2 км. Предполагается полная реконструкция питающей линии ВЛ-10кВ Л-3 от ПС-35/10 «Выползово» до д. Большое Носакино общей протяженностью – 10 км.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Строительство КЛ-10 кВ ( вводы в БКТП).- ориентировочно 1,2 км.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Строительство 10 новых ТП в том числе: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РТП-2*160кВА – 1шт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БКТП-2*160кВА – 4шт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БКТП-2*400кВА – 1шт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КТП-1*63кВА – 8шт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КТП-1*100кВА – 8шт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КТП-1*160кВА – 8шт ;</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КТП-1х250кВА - 1шт.</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4. Предусматривается строительство распределительных линий ВЛИ-0,4кВ совмещенных с сетью наружного освещения (пятый провод) в кварталах индивидуальной застройки (ИЖС).</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новых воздушных линий 0,4 кВ составит ориентировочно 14,6 км.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Необходимость реконструкции существующих сетей 0,4 и 10 кВ, а также существующих ТП определяется владельцем сетей.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Надежность электроснабжения.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Схема построения сети 10 кВ петлевая с обеспечением двухстороннего питания каждой двухтрансформаторной ТП, а также радиальная к однотрансформаторным ТП обеспечивает устойчивое электроснабжение потребителей 3-й, 2-й и в значительной степени 1-й категории. Проектируемые потребители ИЖС и Таунхаус 3-й категории надежности электроснабжения, к 2-й категории относятся участки ОД застройки.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Потребители 1-й категории подключаются к двум независимым источникам питания, в качестве которых в соответствии с п.4.1.10 РД 34.20.185-94 и п.1.2.10 ПУЭ приняты секционированные сборные шины одного или разных центров питания. При этом электроснабжение указанных потребителей осуществляется от двухтрансформаторных подстанций с секционированными шинами или от соседних однотрансформаторных подстанций с устройством АВР на вводе у потребителя.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В качестве второго независимого источника питания для потребителей 1-й категории  могут использоваться автономные источники питания (аккумуляторные батареи, дизельные электростанции и др.).</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Регулирование напряжения.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Регулирование напряжения в городских электрических сетях осуществляется централизованно с помощью РПН на питающих центрах – ПС-35/10кВ.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Данная информация отражена в графических материалах Проекта планировки - основная часть, проект межевания. Чертёж размещения инженерных сетей и сооружений в границах территории. Сети электроснабжения.</w:t>
      </w:r>
    </w:p>
    <w:p w:rsidR="00201A0D" w:rsidRPr="00201A0D" w:rsidRDefault="00201A0D" w:rsidP="00B612E4">
      <w:pPr>
        <w:spacing w:after="0"/>
        <w:jc w:val="both"/>
        <w:rPr>
          <w:rFonts w:ascii="Times New Roman" w:hAnsi="Times New Roman" w:cs="Times New Roman"/>
          <w:sz w:val="20"/>
          <w:szCs w:val="20"/>
        </w:rPr>
      </w:pPr>
    </w:p>
    <w:p w:rsidR="00201A0D" w:rsidRPr="00201A0D" w:rsidRDefault="00201A0D" w:rsidP="00B612E4">
      <w:pPr>
        <w:spacing w:after="0"/>
        <w:jc w:val="both"/>
        <w:rPr>
          <w:rFonts w:ascii="Times New Roman" w:hAnsi="Times New Roman" w:cs="Times New Roman"/>
          <w:sz w:val="20"/>
          <w:szCs w:val="20"/>
        </w:rPr>
      </w:pPr>
      <w:bookmarkStart w:id="80" w:name="_Toc433382440"/>
      <w:r w:rsidRPr="00201A0D">
        <w:rPr>
          <w:rFonts w:ascii="Times New Roman" w:hAnsi="Times New Roman" w:cs="Times New Roman"/>
          <w:sz w:val="20"/>
          <w:szCs w:val="20"/>
        </w:rPr>
        <w:t>8.6. Вертикальная планировка и инженерная подготовка территории</w:t>
      </w:r>
      <w:bookmarkEnd w:id="79"/>
      <w:bookmarkEnd w:id="80"/>
    </w:p>
    <w:p w:rsidR="00201A0D" w:rsidRPr="00201A0D" w:rsidRDefault="00201A0D" w:rsidP="00B612E4">
      <w:pPr>
        <w:spacing w:after="0"/>
        <w:jc w:val="both"/>
        <w:rPr>
          <w:rFonts w:ascii="Times New Roman" w:hAnsi="Times New Roman" w:cs="Times New Roman"/>
          <w:sz w:val="20"/>
          <w:szCs w:val="20"/>
        </w:rPr>
      </w:pPr>
      <w:bookmarkStart w:id="81" w:name="_Toc343149552"/>
      <w:r w:rsidRPr="00201A0D">
        <w:rPr>
          <w:rFonts w:ascii="Times New Roman" w:hAnsi="Times New Roman" w:cs="Times New Roman"/>
          <w:sz w:val="20"/>
          <w:szCs w:val="20"/>
        </w:rPr>
        <w:t>Отвод дождевых и талых вод осуществляется с учётом существующего рельефа и вертикальной планировки по лоткам проезжей части в водоотводные канавы вдоль дорог и далее в коллекторы дождевой канализации. Присоединение водоотводных канав необходимо осуществить через колодец с отстойной частью. Также целесообразно проложить коллекторы вдоль улиц, продольный уклон которых менее нормативных значений. Коллекторы отводят сток на комплексные очистные сооружения, состоящие из пескоотделителя, маслобензоуловителя, сорбционного фильтра. Для уменьшения мощности и размера очистных сооружений перед ними устараивается регулирующий резервуар, принимаемый в себя наиболее загрязненную часть стока через распределительную камеру. Перед выпуском необходимо устройство контрольного колодца для взятия проб воды.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Защита территории от затопления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Согласно решению Новгородского облисполкома от 02.04.91 г. №128 «О мерах по защите населенных пунктов и объектов народного хозяйства от наводнений», проектирование и строительство производственных и социально-бытовых объектов, жилых домов необходимо осуществлять на участках не подверженных затоплению (выше отметки 23,00 м БС).</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планируемых под застройку территориях, находящихся ниже отметки 23,00 м необходимо выполнить мероприятия по защите от затопления. Наиболее эффективным способом является повышение поверхности территории до незатапливаемых отметок (подсыпка участков), оно позволяет выполнять работу постепенно, по мере освоения очередного участка. При этом единовременные денежные вложения не требуют последующих затрат. Посадку зданий необходимо осуществлять не менее чем на 0,5 м выше расчетного уровня воды в водном объекте с учетом расчетной высоты волны и ее наката.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Озеленение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Зеленые насаждения территории планировки являются частью единой системы зеленых насаждений.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Задачей озеленения является создание единой архитектурно-пространственной композиции объектов зеленых насаждений и значительное улучшение санитарно-гигиенических условий проживания для населения.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По функциональному назначению проектируемые объекты зеленых насаждений подразделяются на 3 группы: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1. зеленые насаждения общего пользования – озелененные территории, используемые для рекреации населения (парки, сады, скверы, бульвары, озелененные территории улиц и т.д.);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2. зеленые насаждения ограниченного пользования – территории с зелеными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3. зеленые насаждения специального назначения – озеленение на территориях специальных объектов с закрытым для населения доступом.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 территории планировки возможно размещение зеленых насаждений общего пользования, ограниченного пользования и зеленых насаждений специального назначения. Данные зеленые насаждения высаживаются на территориях объектов строительства и, а так же на специально отведенных зонах размещения зеленых насаждений и объектов благоустройства.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Удельный вес озелененных территорий различного назначения в пределах застройки Едровского сельского поселения (уровень озелененности территории застройки) должен быть не менее 40%, а в границах территории жилого района - не менее 25%, включая суммарную площадь озеленения территории микрорайона (квартала).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Посадочный материал необходимо приобретать в специализированных питомниках.</w:t>
      </w:r>
    </w:p>
    <w:p w:rsidR="00201A0D" w:rsidRPr="00201A0D" w:rsidRDefault="00201A0D" w:rsidP="00B612E4">
      <w:pPr>
        <w:spacing w:after="0"/>
        <w:jc w:val="both"/>
        <w:rPr>
          <w:rFonts w:ascii="Times New Roman" w:hAnsi="Times New Roman" w:cs="Times New Roman"/>
          <w:sz w:val="20"/>
          <w:szCs w:val="20"/>
        </w:rPr>
      </w:pPr>
      <w:bookmarkStart w:id="82" w:name="_Toc433382441"/>
      <w:r w:rsidRPr="00201A0D">
        <w:rPr>
          <w:rFonts w:ascii="Times New Roman" w:hAnsi="Times New Roman" w:cs="Times New Roman"/>
          <w:sz w:val="20"/>
          <w:szCs w:val="20"/>
        </w:rPr>
        <w:t>9. Защита территорий от чрезвычайных ситуаций природного и техногенного характера.</w:t>
      </w:r>
      <w:bookmarkEnd w:id="82"/>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Раздел содержит информацию для служебного использования, поэтому его основная часть выделена отдельным документом - Приложение 2. Настоящий раздел 9 содержит только общие положения по защите территории от чрезвычайных ситуаций.</w:t>
      </w:r>
    </w:p>
    <w:p w:rsidR="00201A0D" w:rsidRPr="00201A0D" w:rsidRDefault="00201A0D" w:rsidP="00B612E4">
      <w:pPr>
        <w:spacing w:after="0"/>
        <w:jc w:val="both"/>
        <w:rPr>
          <w:rFonts w:ascii="Times New Roman" w:hAnsi="Times New Roman" w:cs="Times New Roman"/>
          <w:sz w:val="20"/>
          <w:szCs w:val="20"/>
        </w:rPr>
      </w:pPr>
      <w:bookmarkStart w:id="83" w:name="_Toc343505778"/>
      <w:bookmarkEnd w:id="81"/>
      <w:r w:rsidRPr="00201A0D">
        <w:rPr>
          <w:rFonts w:ascii="Times New Roman" w:hAnsi="Times New Roman" w:cs="Times New Roman"/>
          <w:sz w:val="20"/>
          <w:szCs w:val="20"/>
        </w:rPr>
        <w:t>Мероприятия по инженерной подготовке и защите территорий должны быть обусловлены генеральным планом и связаны с природными условиями, а так же должны регулироваться выбором планировочных, конструктивных и инженерно-технических решений застройки.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террористические;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криминальные;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коммунально-бытового и жилищного характера;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техногенные;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природные;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эпидемиологического характера;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экологические.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Факторы риска возникновения ЧС природного характера: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паводковые подтопления в поймах озер, рек, ручьев;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лесные пожары и весенние палы;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ураганы, смерчи, град.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устранения или уменьшения техногенного воздействия на природные условия нужно предусматривать предупредительные меры: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максимальное сохранение природного рельефа с обеспечением системы отвода поверхностных вод;</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минимальную плотность сети подземных инженерных сетей и равномерное их размещение по площади.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Источниками ЧС техногенного характера на рассматриваемой территории могут считаться транспортные системы: автомобильные и  железные дороги.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Значительные ущербы и людские потери наносят пожары на объектах, в жилом секторе.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Особенно значительные последствия ЧС при авариях на транспорте, перевозящем токсичные вещества (аммиак, хлор) и взрывопожароопасные вещества (бензин, мазут).</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Охранная зона для автомобильных дорог I, II категорий – 100 м; III, IV категорий – 50 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возникновении ЧС на газопроводе происходит выброс аварийно химически опасных веществ (АХОВ), что приводит к значительному ухудшению экологической обстановки, возникновению пожаров и загрязнению обширных территорий.</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Тушение пожаров выполняется силами пожарных депо, расположенных на территории поселения.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Ответственность за проведение предусмотрительных мероприятий ЧС на автомобильном транспорте выполняется силами службы ГИБДД района.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Кроме того, к источникам ЧС техногенного характера относятся трансформаторные электроподстанции: взрывы трансформаторов, повреждение сетей, пожары, перебои в электроснабжении.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Требования пожарной безопасности при градостроительной деятельности должны учитывать:</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размещение пожаровзрывоопасных объектов на территории поселения: производственные и коммунальные объекты пожаровзрывоопасного характера предусматривать, как правило, за границей населенного пункта или с учетом воздействия опасных факторов пожара на соседние объекты защиты и др.;</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вопросы подъезда пожарных автомобилей к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 НП;</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 на территории НП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 вопросы детального проектирования наружного противопожарного водоснабжения решаются на стадии разработки проектов планировки.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Предусмотреть следующие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На стадии проектирования: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проектируемую трассу газопровода выбирают в наиболее безопасном месте с допустимым приближениями к существующим строениям, подземным и наземным коммуникациям;</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применение сертифицируемых в установленном порядке материалов и оборудования;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использование запорной арматуры с герметичностью затворов.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строительстве:</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обеспечения качества сварных соединений газопровода выполняется контроль сварных стыков;</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предусмотреть ведение пооперационного контроля над всеми видами работ, производимыми на газопроводе, с обязательным документальным оформлением результатов контроля;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после монтажа газопровода и запорной арматуры проводятся испытания на прочность и герметичность.</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При эксплуатации:</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для предотвращения проникновения газа при аварии на подземном газопроводе в здания и сооружения, расположенные в радиусе 50 метров от газопровода, следует контролировать целостность герметизации всех коммунальных вводов в здания и сооружения;</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необходимо обеспечить регулярный обход трассы газопровода;</w:t>
      </w:r>
    </w:p>
    <w:p w:rsidR="00201A0D" w:rsidRPr="00201A0D" w:rsidRDefault="00201A0D" w:rsidP="00B612E4">
      <w:pPr>
        <w:spacing w:after="0"/>
        <w:jc w:val="both"/>
        <w:rPr>
          <w:rFonts w:ascii="Times New Roman" w:hAnsi="Times New Roman" w:cs="Times New Roman"/>
          <w:sz w:val="20"/>
          <w:szCs w:val="20"/>
        </w:rPr>
      </w:pPr>
      <w:r w:rsidRPr="00201A0D">
        <w:rPr>
          <w:rFonts w:ascii="Times New Roman" w:hAnsi="Times New Roman" w:cs="Times New Roman"/>
          <w:sz w:val="20"/>
          <w:szCs w:val="20"/>
        </w:rPr>
        <w:t>выдавать разрешения на производство земельных работ в зоне эксплуатируемого газопровода и вести постоянный контроль над производством земельных работ в этой зоне при постоянном присутствии представительства эксплуатирующей организации.</w:t>
      </w:r>
    </w:p>
    <w:p w:rsidR="00201A0D" w:rsidRPr="00201A0D" w:rsidRDefault="00201A0D" w:rsidP="00B612E4">
      <w:pPr>
        <w:spacing w:after="0"/>
        <w:jc w:val="both"/>
        <w:rPr>
          <w:rFonts w:ascii="Times New Roman" w:hAnsi="Times New Roman" w:cs="Times New Roman"/>
          <w:sz w:val="20"/>
          <w:szCs w:val="20"/>
        </w:rPr>
      </w:pPr>
      <w:bookmarkStart w:id="84" w:name="_Toc433382442"/>
      <w:bookmarkEnd w:id="83"/>
      <w:r w:rsidRPr="00201A0D">
        <w:rPr>
          <w:rFonts w:ascii="Times New Roman" w:hAnsi="Times New Roman" w:cs="Times New Roman"/>
          <w:sz w:val="20"/>
          <w:szCs w:val="20"/>
        </w:rPr>
        <w:t>10. Основные технико-экономические показатели по Едровскому сельскому поселению.</w:t>
      </w:r>
      <w:bookmarkEnd w:id="84"/>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2"/>
        <w:gridCol w:w="1567"/>
        <w:gridCol w:w="1991"/>
        <w:gridCol w:w="1857"/>
      </w:tblGrid>
      <w:tr w:rsidR="00201A0D" w:rsidRPr="00201A0D" w:rsidTr="00201A0D">
        <w:trPr>
          <w:tblHeader/>
        </w:trPr>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п/п</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Наименование показателя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Единица измерения</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Современное состояние</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Расчетный срок</w:t>
            </w:r>
          </w:p>
        </w:tc>
      </w:tr>
      <w:tr w:rsidR="00201A0D" w:rsidRPr="00201A0D" w:rsidTr="00201A0D">
        <w:trPr>
          <w:tblHeader/>
        </w:trPr>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w:t>
            </w:r>
          </w:p>
        </w:tc>
        <w:tc>
          <w:tcPr>
            <w:tcW w:w="9297" w:type="dxa"/>
            <w:gridSpan w:val="4"/>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ТЕРРИТОРИЯ</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общая площадь земель в границах муниципального образования, в том числе:</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га/тыс. км2</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53650,83/0,5365083</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53650,83/0,5365083</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сельскохозяйственного назначения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3748,77</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3748,77</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населенных пунктов</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3012,43</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3012,43</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промышленности</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1453,64</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1453,64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особо охраняемых территорий</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2,82</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2,82</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6.</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лесного фонда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42975,75</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42975,75</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водного фонда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2457,42</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2457,42</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8.</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Земли запаса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0,00</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II.</w:t>
            </w:r>
          </w:p>
        </w:tc>
        <w:tc>
          <w:tcPr>
            <w:tcW w:w="9297" w:type="dxa"/>
            <w:gridSpan w:val="4"/>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НАСЕЛЕНИЕ</w:t>
            </w:r>
          </w:p>
        </w:tc>
      </w:tr>
      <w:tr w:rsidR="00201A0D" w:rsidRPr="00201A0D" w:rsidTr="00201A0D">
        <w:tc>
          <w:tcPr>
            <w:tcW w:w="913"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404"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общая численность постоянного населения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тысяч чел.</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1785*</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3998**</w:t>
            </w:r>
          </w:p>
        </w:tc>
      </w:tr>
      <w:tr w:rsidR="00201A0D" w:rsidRPr="00201A0D" w:rsidTr="00201A0D">
        <w:tc>
          <w:tcPr>
            <w:tcW w:w="913" w:type="dxa"/>
            <w:vMerge/>
            <w:vAlign w:val="center"/>
          </w:tcPr>
          <w:p w:rsidR="00201A0D" w:rsidRPr="00201A0D" w:rsidRDefault="00201A0D" w:rsidP="00201A0D">
            <w:pPr>
              <w:spacing w:after="0"/>
              <w:rPr>
                <w:rFonts w:ascii="Times New Roman" w:hAnsi="Times New Roman" w:cs="Times New Roman"/>
                <w:sz w:val="20"/>
                <w:szCs w:val="20"/>
              </w:rPr>
            </w:pPr>
          </w:p>
        </w:tc>
        <w:tc>
          <w:tcPr>
            <w:tcW w:w="3404" w:type="dxa"/>
            <w:vMerge/>
            <w:vAlign w:val="center"/>
          </w:tcPr>
          <w:p w:rsidR="00201A0D" w:rsidRPr="00201A0D" w:rsidRDefault="00201A0D" w:rsidP="00201A0D">
            <w:pPr>
              <w:spacing w:after="0"/>
              <w:rPr>
                <w:rFonts w:ascii="Times New Roman" w:hAnsi="Times New Roman" w:cs="Times New Roman"/>
                <w:sz w:val="20"/>
                <w:szCs w:val="20"/>
              </w:rPr>
            </w:pP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роста от существующей численности постоянного населения</w:t>
            </w:r>
          </w:p>
        </w:tc>
        <w:tc>
          <w:tcPr>
            <w:tcW w:w="2169" w:type="dxa"/>
            <w:vAlign w:val="center"/>
          </w:tcPr>
          <w:p w:rsidR="00201A0D" w:rsidRPr="00201A0D" w:rsidRDefault="00201A0D" w:rsidP="00201A0D">
            <w:pPr>
              <w:spacing w:after="0"/>
              <w:rPr>
                <w:rFonts w:ascii="Times New Roman" w:hAnsi="Times New Roman" w:cs="Times New Roman"/>
                <w:sz w:val="20"/>
                <w:szCs w:val="20"/>
              </w:rPr>
            </w:pP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плотность населения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чел. на 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0,6</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III.</w:t>
            </w:r>
          </w:p>
        </w:tc>
        <w:tc>
          <w:tcPr>
            <w:tcW w:w="9297" w:type="dxa"/>
            <w:gridSpan w:val="4"/>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ЖИЛИЩНЫЙ ФОНД</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средняя обеспеченность населения Sобщ. (по муниципальному образованию)</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м2/чел.</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34,7</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48,0</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общий объем жилищного фонда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Sобщ., тыс. м2</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59,57</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192,0</w:t>
            </w:r>
          </w:p>
        </w:tc>
      </w:tr>
      <w:tr w:rsidR="00201A0D" w:rsidRPr="00201A0D" w:rsidTr="00201A0D">
        <w:tc>
          <w:tcPr>
            <w:tcW w:w="913"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3404"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общий объем нового жилищного строительства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S, тыс. м2 общ.</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132,3</w:t>
            </w:r>
          </w:p>
        </w:tc>
      </w:tr>
      <w:tr w:rsidR="00201A0D" w:rsidRPr="00201A0D" w:rsidTr="00201A0D">
        <w:tc>
          <w:tcPr>
            <w:tcW w:w="913" w:type="dxa"/>
            <w:vMerge/>
            <w:vAlign w:val="center"/>
          </w:tcPr>
          <w:p w:rsidR="00201A0D" w:rsidRPr="00201A0D" w:rsidRDefault="00201A0D" w:rsidP="00201A0D">
            <w:pPr>
              <w:spacing w:after="0"/>
              <w:rPr>
                <w:rFonts w:ascii="Times New Roman" w:hAnsi="Times New Roman" w:cs="Times New Roman"/>
                <w:sz w:val="20"/>
                <w:szCs w:val="20"/>
              </w:rPr>
            </w:pPr>
          </w:p>
        </w:tc>
        <w:tc>
          <w:tcPr>
            <w:tcW w:w="3404" w:type="dxa"/>
            <w:vMerge/>
            <w:vAlign w:val="center"/>
          </w:tcPr>
          <w:p w:rsidR="00201A0D" w:rsidRPr="00201A0D" w:rsidRDefault="00201A0D" w:rsidP="00201A0D">
            <w:pPr>
              <w:spacing w:after="0"/>
              <w:rPr>
                <w:rFonts w:ascii="Times New Roman" w:hAnsi="Times New Roman" w:cs="Times New Roman"/>
                <w:sz w:val="20"/>
                <w:szCs w:val="20"/>
              </w:rPr>
            </w:pP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от общего объема жилищного фонда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222,1</w:t>
            </w:r>
          </w:p>
        </w:tc>
      </w:tr>
      <w:tr w:rsidR="00201A0D" w:rsidRPr="00201A0D" w:rsidTr="00201A0D">
        <w:tc>
          <w:tcPr>
            <w:tcW w:w="913"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3404"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общий объем убыли жилищного фонда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S, м2 общ.</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913" w:type="dxa"/>
            <w:vMerge/>
            <w:vAlign w:val="center"/>
          </w:tcPr>
          <w:p w:rsidR="00201A0D" w:rsidRPr="00201A0D" w:rsidRDefault="00201A0D" w:rsidP="00201A0D">
            <w:pPr>
              <w:spacing w:after="0"/>
              <w:rPr>
                <w:rFonts w:ascii="Times New Roman" w:hAnsi="Times New Roman" w:cs="Times New Roman"/>
                <w:sz w:val="20"/>
                <w:szCs w:val="20"/>
              </w:rPr>
            </w:pPr>
          </w:p>
        </w:tc>
        <w:tc>
          <w:tcPr>
            <w:tcW w:w="3404" w:type="dxa"/>
            <w:vMerge/>
            <w:vAlign w:val="center"/>
          </w:tcPr>
          <w:p w:rsidR="00201A0D" w:rsidRPr="00201A0D" w:rsidRDefault="00201A0D" w:rsidP="00201A0D">
            <w:pPr>
              <w:spacing w:after="0"/>
              <w:rPr>
                <w:rFonts w:ascii="Times New Roman" w:hAnsi="Times New Roman" w:cs="Times New Roman"/>
                <w:sz w:val="20"/>
                <w:szCs w:val="20"/>
              </w:rPr>
            </w:pP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кол-во домов</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913" w:type="dxa"/>
            <w:vMerge/>
            <w:vAlign w:val="center"/>
          </w:tcPr>
          <w:p w:rsidR="00201A0D" w:rsidRPr="00201A0D" w:rsidRDefault="00201A0D" w:rsidP="00201A0D">
            <w:pPr>
              <w:spacing w:after="0"/>
              <w:rPr>
                <w:rFonts w:ascii="Times New Roman" w:hAnsi="Times New Roman" w:cs="Times New Roman"/>
                <w:sz w:val="20"/>
                <w:szCs w:val="20"/>
              </w:rPr>
            </w:pPr>
          </w:p>
        </w:tc>
        <w:tc>
          <w:tcPr>
            <w:tcW w:w="3404" w:type="dxa"/>
            <w:vMerge/>
            <w:vAlign w:val="center"/>
          </w:tcPr>
          <w:p w:rsidR="00201A0D" w:rsidRPr="00201A0D" w:rsidRDefault="00201A0D" w:rsidP="00201A0D">
            <w:pPr>
              <w:spacing w:after="0"/>
              <w:rPr>
                <w:rFonts w:ascii="Times New Roman" w:hAnsi="Times New Roman" w:cs="Times New Roman"/>
                <w:sz w:val="20"/>
                <w:szCs w:val="20"/>
              </w:rPr>
            </w:pP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от общего объема жилищного фонда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913"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3404" w:type="dxa"/>
            <w:vMerge w:val="restart"/>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существующий сохраняемый жилищный фонд</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S, тыс. м2 общ.</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59,57</w:t>
            </w:r>
          </w:p>
        </w:tc>
      </w:tr>
      <w:tr w:rsidR="00201A0D" w:rsidRPr="00201A0D" w:rsidTr="00201A0D">
        <w:trPr>
          <w:trHeight w:val="920"/>
        </w:trPr>
        <w:tc>
          <w:tcPr>
            <w:tcW w:w="913" w:type="dxa"/>
            <w:vMerge/>
            <w:vAlign w:val="center"/>
          </w:tcPr>
          <w:p w:rsidR="00201A0D" w:rsidRPr="00201A0D" w:rsidRDefault="00201A0D" w:rsidP="00201A0D">
            <w:pPr>
              <w:spacing w:after="0"/>
              <w:rPr>
                <w:rFonts w:ascii="Times New Roman" w:hAnsi="Times New Roman" w:cs="Times New Roman"/>
                <w:sz w:val="20"/>
                <w:szCs w:val="20"/>
              </w:rPr>
            </w:pPr>
          </w:p>
        </w:tc>
        <w:tc>
          <w:tcPr>
            <w:tcW w:w="3404" w:type="dxa"/>
            <w:vMerge/>
            <w:vAlign w:val="center"/>
          </w:tcPr>
          <w:p w:rsidR="00201A0D" w:rsidRPr="00201A0D" w:rsidRDefault="00201A0D" w:rsidP="00201A0D">
            <w:pPr>
              <w:spacing w:after="0"/>
              <w:rPr>
                <w:rFonts w:ascii="Times New Roman" w:hAnsi="Times New Roman" w:cs="Times New Roman"/>
                <w:sz w:val="20"/>
                <w:szCs w:val="20"/>
              </w:rPr>
            </w:pP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от общего объема жилищного фонда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100</w:t>
            </w:r>
          </w:p>
        </w:tc>
      </w:tr>
      <w:tr w:rsidR="00201A0D" w:rsidRPr="00201A0D" w:rsidTr="00201A0D">
        <w:trPr>
          <w:trHeight w:val="281"/>
        </w:trPr>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IV.</w:t>
            </w:r>
          </w:p>
        </w:tc>
        <w:tc>
          <w:tcPr>
            <w:tcW w:w="9297" w:type="dxa"/>
            <w:gridSpan w:val="4"/>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СОЦИАЛЬНОГО И КУЛЬТУРНО-БЫТОВОГО ОБСЛУЖИВАНИЯ НАСЕЛЕНИЯ</w:t>
            </w:r>
          </w:p>
        </w:tc>
      </w:tr>
      <w:tr w:rsidR="00201A0D" w:rsidRPr="00201A0D" w:rsidTr="00201A0D">
        <w:trPr>
          <w:trHeight w:val="427"/>
        </w:trPr>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учебно-образовательного назначения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p>
        </w:tc>
        <w:tc>
          <w:tcPr>
            <w:tcW w:w="2169" w:type="dxa"/>
            <w:vAlign w:val="center"/>
          </w:tcPr>
          <w:p w:rsidR="00201A0D" w:rsidRPr="00201A0D" w:rsidRDefault="00201A0D" w:rsidP="00201A0D">
            <w:pPr>
              <w:spacing w:after="0"/>
              <w:rPr>
                <w:rFonts w:ascii="Times New Roman" w:hAnsi="Times New Roman" w:cs="Times New Roman"/>
                <w:sz w:val="20"/>
                <w:szCs w:val="20"/>
              </w:rPr>
            </w:pPr>
          </w:p>
        </w:tc>
        <w:tc>
          <w:tcPr>
            <w:tcW w:w="2022"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rPr>
          <w:trHeight w:val="451"/>
        </w:trPr>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Детские дошкольные учреждения, всего/1000 чел.</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 (на 01.01.2009 г.)***</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155</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Общеобразовательные школы, всего/1000 чел.</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460</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560</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Учреждения внешкольного образования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75</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здравоохранения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p>
        </w:tc>
        <w:tc>
          <w:tcPr>
            <w:tcW w:w="2169" w:type="dxa"/>
            <w:vAlign w:val="center"/>
          </w:tcPr>
          <w:p w:rsidR="00201A0D" w:rsidRPr="00201A0D" w:rsidRDefault="00201A0D" w:rsidP="00201A0D">
            <w:pPr>
              <w:spacing w:after="0"/>
              <w:rPr>
                <w:rFonts w:ascii="Times New Roman" w:hAnsi="Times New Roman" w:cs="Times New Roman"/>
                <w:sz w:val="20"/>
                <w:szCs w:val="20"/>
              </w:rPr>
            </w:pPr>
          </w:p>
        </w:tc>
        <w:tc>
          <w:tcPr>
            <w:tcW w:w="2022"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Больницы</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коек</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35</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Поликлиники (ФАП)</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посещений в смену</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77</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48</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3.</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социального обеспечения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спортивные и физкультурно-оздоровительные объекты</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м2 площади пола зала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151</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814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Плавательные бассейны</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м2 зеркала воды</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58</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 xml:space="preserve">объекты культурно-досугового </w:t>
            </w:r>
            <w:r w:rsidRPr="00201A0D">
              <w:rPr>
                <w:rFonts w:ascii="Times New Roman" w:hAnsi="Times New Roman" w:cs="Times New Roman"/>
                <w:sz w:val="20"/>
                <w:szCs w:val="20"/>
              </w:rPr>
              <w:lastRenderedPageBreak/>
              <w:t>назначения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250</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434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lastRenderedPageBreak/>
              <w:t>6.</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торгового назначения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м2 торговой площади</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1441</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1050</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7.</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общественного питания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223</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105</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8.</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организации и учреждения управления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9.</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учреждения жилищно-коммунального хозяйства</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10.</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бытового обслуживания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раб. мест</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н/д</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11.</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связи</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отделения связи</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4</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12.</w:t>
            </w: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Объекты специального назначения</w:t>
            </w:r>
          </w:p>
        </w:tc>
        <w:tc>
          <w:tcPr>
            <w:tcW w:w="1702" w:type="dxa"/>
            <w:vAlign w:val="center"/>
          </w:tcPr>
          <w:p w:rsidR="00201A0D" w:rsidRPr="00201A0D" w:rsidRDefault="00201A0D" w:rsidP="00201A0D">
            <w:pPr>
              <w:spacing w:after="0"/>
              <w:rPr>
                <w:rFonts w:ascii="Times New Roman" w:hAnsi="Times New Roman" w:cs="Times New Roman"/>
                <w:sz w:val="20"/>
                <w:szCs w:val="20"/>
              </w:rPr>
            </w:pPr>
          </w:p>
        </w:tc>
        <w:tc>
          <w:tcPr>
            <w:tcW w:w="2169" w:type="dxa"/>
            <w:vAlign w:val="center"/>
          </w:tcPr>
          <w:p w:rsidR="00201A0D" w:rsidRPr="00201A0D" w:rsidRDefault="00201A0D" w:rsidP="00201A0D">
            <w:pPr>
              <w:spacing w:after="0"/>
              <w:rPr>
                <w:rFonts w:ascii="Times New Roman" w:hAnsi="Times New Roman" w:cs="Times New Roman"/>
                <w:sz w:val="20"/>
                <w:szCs w:val="20"/>
              </w:rPr>
            </w:pPr>
          </w:p>
        </w:tc>
        <w:tc>
          <w:tcPr>
            <w:tcW w:w="2022" w:type="dxa"/>
            <w:vAlign w:val="center"/>
          </w:tcPr>
          <w:p w:rsidR="00201A0D" w:rsidRPr="00201A0D" w:rsidRDefault="00201A0D" w:rsidP="00201A0D">
            <w:pPr>
              <w:spacing w:after="0"/>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Общее количество кладбищ</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единиц/га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5/5,7</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5/5,7</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Мусороперерабатывающие заводы</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единиц/ м3/год</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Полигоны ТБО</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единиц/га</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c>
          <w:tcPr>
            <w:tcW w:w="913" w:type="dxa"/>
            <w:vAlign w:val="center"/>
          </w:tcPr>
          <w:p w:rsidR="00201A0D" w:rsidRPr="00201A0D" w:rsidRDefault="00201A0D" w:rsidP="00201A0D">
            <w:pPr>
              <w:spacing w:after="0"/>
              <w:rPr>
                <w:rFonts w:ascii="Times New Roman" w:hAnsi="Times New Roman" w:cs="Times New Roman"/>
                <w:sz w:val="20"/>
                <w:szCs w:val="20"/>
              </w:rPr>
            </w:pPr>
          </w:p>
        </w:tc>
        <w:tc>
          <w:tcPr>
            <w:tcW w:w="3404"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Пождепо</w:t>
            </w:r>
          </w:p>
        </w:tc>
        <w:tc>
          <w:tcPr>
            <w:tcW w:w="170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автом.</w:t>
            </w:r>
          </w:p>
        </w:tc>
        <w:tc>
          <w:tcPr>
            <w:tcW w:w="2169"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w:t>
            </w:r>
          </w:p>
        </w:tc>
        <w:tc>
          <w:tcPr>
            <w:tcW w:w="9297" w:type="dxa"/>
            <w:gridSpan w:val="4"/>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ИНЖЕНЕРНАЯ ИНФРАСТРУКТУРА И БЛАГОУСТРОЙСТВО ТЕРРИТОРИИ</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w:t>
            </w:r>
          </w:p>
        </w:tc>
        <w:tc>
          <w:tcPr>
            <w:tcW w:w="9297" w:type="dxa"/>
            <w:gridSpan w:val="4"/>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Водоснабжение:</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Водопотребление – всего по поселению</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0,330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0,947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Водопотребление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0,254</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0,317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0,203</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0,253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производственные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0,051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0,064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Производительность водозаборных сооружений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Артезианские скважины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3,3 ÷ 5,0 м3/час; Н = 57 ÷ 65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Водонапорные башни: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 25 м3; Н = 15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 50 м3; Н = 15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Среднесуточное водопотребление на 1 человека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Протяженность сетей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16,90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160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11,20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110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4,00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63</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50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Водопотребление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0,471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 хозяйственно-питьевые нужды</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0,366</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производственные нужды</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0,105</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 xml:space="preserve">Производительность водозаборных </w:t>
            </w:r>
            <w:r w:rsidRPr="00201A0D">
              <w:rPr>
                <w:rFonts w:ascii="Times New Roman" w:hAnsi="Times New Roman" w:cs="Times New Roman"/>
                <w:sz w:val="20"/>
                <w:szCs w:val="20"/>
              </w:rPr>
              <w:lastRenderedPageBreak/>
              <w:t>сооружений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Артезианские скважины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7,2 м3/час; Н = 80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Резервуары чистой 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 х 200 м3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Насосная станция II подъёма</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150 м3/час; Н = 45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Водонапорные башни: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 15 м3; Н = 12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Среднесуточное водопотребление на 1 человека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Протяженность сетей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15,06</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160</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3,26</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110</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11,80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Новая Ситенка: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Водопотребление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0,003</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0,010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0,002</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0,008</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производственные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0,002</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Производительность водозаборных сооружений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Артезианские скважины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7,2 м3/час; Н = 80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Водонапорные башни: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 15 м3; Н = 12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Среднесуточное водопотребление на 1 человека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Протяженность сетей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6,02</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90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2,17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63</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3,85</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5.1.3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 + ПНИ «Добывалово»: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Водопотребление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0,049</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0,072</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0,047</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0,068</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 производственные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0,002</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Производительность водозаборных сооружений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Артезианские скважины</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7,2 м3/час; Н = 80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Водонапорные башни: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V = 15 м3; Н = 12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Среднесуточное водопотребление на 1 человека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 на хозяйственно-питьевые нужды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л/сут. на чел.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tl/>
              </w:rPr>
            </w:pPr>
            <w:r w:rsidRPr="00201A0D">
              <w:rPr>
                <w:rFonts w:ascii="Times New Roman" w:hAnsi="Times New Roman" w:cs="Times New Roman"/>
                <w:sz w:val="20"/>
                <w:szCs w:val="20"/>
              </w:rPr>
              <w:t>Протяженность сетей</w:t>
            </w:r>
            <w:r w:rsidRPr="00201A0D">
              <w:rPr>
                <w:rFonts w:ascii="Times New Roman" w:hAnsi="Times New Roman" w:cs="Times New Roman"/>
                <w:sz w:val="20"/>
                <w:szCs w:val="20"/>
                <w:rtl/>
              </w:rPr>
              <w:t>׃</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1,5</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90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63</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w:t>
            </w:r>
          </w:p>
        </w:tc>
        <w:tc>
          <w:tcPr>
            <w:tcW w:w="9297" w:type="dxa"/>
            <w:gridSpan w:val="4"/>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Канализация :</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Количество сточных вод очищаемых на очистных сооружениях:</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 Едрово: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Общее поступление сточных вод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0,036</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0,283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хозяйственно-бытовые сточные 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0,032</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0,253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производственные сточные 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0,004</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0,030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100 м3/сут</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КНС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5 м3/час, Н = 10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10 м3/час, Н = 20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20 м3/час, Н = 20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сетей:</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2,20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27,47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Самотечных: Ø200 мм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20,53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Ø150 мм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Напорных: Ø110 мм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6,94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Ø150 мм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Большое Носакино: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Общее поступление сточных вод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0,335</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хозяйственно-бытовые сточные 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0,285</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производственные сточные 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0,050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700 м3/сут</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КНС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5 м3/час, Н = 10÷20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25 м3/час, Н = 20 м</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50 м3/час, Н = 20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сетей:</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19,02</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Самотечных: Ø200 мм</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14,54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Напорных: Ø160 мм</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2,08</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Ø110 мм</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Ø 63 мм</w:t>
            </w:r>
          </w:p>
        </w:tc>
        <w:tc>
          <w:tcPr>
            <w:tcW w:w="1702"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д. Зелёная Роща + ПНИ «Добывалово»: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Общее поступление сточных вод -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тыс. м3/сут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0,045</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0,070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хозяйственно-бытовые сточные </w:t>
            </w:r>
            <w:r w:rsidRPr="00201A0D">
              <w:rPr>
                <w:rFonts w:ascii="Times New Roman" w:hAnsi="Times New Roman" w:cs="Times New Roman"/>
                <w:sz w:val="20"/>
                <w:szCs w:val="20"/>
              </w:rPr>
              <w:lastRenderedPageBreak/>
              <w:t>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0,044</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0,067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производственные сточные 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0,003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80 м3/сут</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КНС</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q = 5 м3/час, Н = 10 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кол-во</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сетей:</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Самотечных: Ø200 мм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Напорных: Ø110 мм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Теплоснабжение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Теплоснабжение годовое с. Едрово (проектируемых кварталов)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4258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3661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5.3.1.1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Потребление тепла (проектируемых кварталов)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1,48</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5.3.1.2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Производительность централизованных источников теплоснабжения </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44354</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38137</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5.3.1.3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Производительность автономных  источников теплоснабжения (проектируемых кварталов)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1,48</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Тепл</w:t>
            </w:r>
            <w:r w:rsidR="00B612E4">
              <w:rPr>
                <w:rFonts w:ascii="Times New Roman" w:hAnsi="Times New Roman" w:cs="Times New Roman"/>
                <w:sz w:val="20"/>
                <w:szCs w:val="20"/>
              </w:rPr>
              <w:t>оснабжение годовое д. Большое Но</w:t>
            </w:r>
            <w:r w:rsidRPr="00201A0D">
              <w:rPr>
                <w:rFonts w:ascii="Times New Roman" w:hAnsi="Times New Roman" w:cs="Times New Roman"/>
                <w:sz w:val="20"/>
                <w:szCs w:val="20"/>
              </w:rPr>
              <w:t>сакино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4258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3661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5.3.2.1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Потребление тепла </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19,17</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16,49</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5.3.2.2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Производительность централизованных источников теплоснабжения </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4,88</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4,20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БМК №1</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0,70</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0,60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БМК №2</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1,16</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БМК №3</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5.3.2.3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Производительность автономных источников теплоснабжения</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Гкал/ч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14,42</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12,40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5.3.3.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сетей</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1,73</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5.4</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Газоснабжение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5.4</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Газоснабжение – общий  годовой расход газа, общий часовой расход газа, 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млн.м3/год</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м3/ч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9,47</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3792,9</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5.4.1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Расход газа  централизованными источниками теплоснабжения (котельные)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м3/ч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17,2</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1346,0</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5.4.3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Население (индивидуально- бытовые нужды и теплоснабжение от котлов)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м3/ч</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3062,4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5.4.4</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Общий расход сжиженного газа</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кг/год</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183141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616</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Источники подачи газа по СП:</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ГРС</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lastRenderedPageBreak/>
              <w:t>5.5.2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Магистральный газопровод, отвод</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52,8</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52,8</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Сооружения и газопроводы:</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Газорегуляторные пункты, 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9</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25</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ГРП</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ГРПШ (ШРП)</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8</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Газопроводы, 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Высокого давления</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5,9</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76,4</w:t>
            </w:r>
          </w:p>
        </w:tc>
      </w:tr>
      <w:tr w:rsidR="00201A0D" w:rsidRPr="00201A0D" w:rsidTr="00201A0D">
        <w:tblPrEx>
          <w:tblCellMar>
            <w:left w:w="28" w:type="dxa"/>
            <w:right w:w="28" w:type="dxa"/>
          </w:tblCellMar>
          <w:tblLook w:val="0000"/>
        </w:tblPrEx>
        <w:trPr>
          <w:trHeight w:val="23"/>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Среднего давления</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10,8</w:t>
            </w:r>
          </w:p>
        </w:tc>
      </w:tr>
      <w:tr w:rsidR="00201A0D" w:rsidRPr="00201A0D" w:rsidTr="00201A0D">
        <w:trPr>
          <w:cantSplit/>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Электроснабжение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rPr>
          <w:cantSplit/>
        </w:trPr>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потребность в электроэнергии</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всего</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млн. кВт. ч./в год</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потребление электроэнергии на 1 чел. в год</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кВт.ч/год</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источники покрытия электронагрузок:</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МВт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5.5.4</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сетей, 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163</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165,5</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ЛЭП 110 кВ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20</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ЛЭП 35 кВ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35</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ЛЭП 10 кВ</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108</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110,5</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5.5.5</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КТП, в том числе:</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47</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48</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КТП-1х400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КТП-2х400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КТП-1х250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БКТП-2*160</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Связь</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5.6.1.</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охват населения телевизионным вещанием</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от населения</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100</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5.6.2.</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обеспеченность населения телефонной сетью общего пользования</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номеров</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586</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586</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5.6.3.</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Протяженность сетей</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км</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70</w:t>
            </w:r>
          </w:p>
        </w:tc>
      </w:tr>
      <w:tr w:rsidR="00201A0D" w:rsidRPr="00201A0D" w:rsidTr="00201A0D">
        <w:tc>
          <w:tcPr>
            <w:tcW w:w="913"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5.6.4.</w:t>
            </w:r>
          </w:p>
        </w:tc>
        <w:tc>
          <w:tcPr>
            <w:tcW w:w="3404"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Антенно-мачтовые сооружения</w:t>
            </w:r>
          </w:p>
        </w:tc>
        <w:tc>
          <w:tcPr>
            <w:tcW w:w="170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шт.</w:t>
            </w:r>
          </w:p>
        </w:tc>
        <w:tc>
          <w:tcPr>
            <w:tcW w:w="2169"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5</w:t>
            </w:r>
          </w:p>
        </w:tc>
        <w:tc>
          <w:tcPr>
            <w:tcW w:w="2022" w:type="dxa"/>
            <w:vAlign w:val="center"/>
          </w:tcPr>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6</w:t>
            </w:r>
          </w:p>
        </w:tc>
      </w:tr>
    </w:tbl>
    <w:p w:rsidR="00201A0D" w:rsidRPr="00201A0D" w:rsidRDefault="00201A0D" w:rsidP="00201A0D">
      <w:pPr>
        <w:tabs>
          <w:tab w:val="right" w:pos="9355"/>
        </w:tabs>
        <w:spacing w:after="0"/>
        <w:jc w:val="both"/>
        <w:rPr>
          <w:rFonts w:ascii="Times New Roman" w:hAnsi="Times New Roman" w:cs="Times New Roman"/>
          <w:sz w:val="20"/>
          <w:szCs w:val="20"/>
        </w:rPr>
      </w:pPr>
      <w:r w:rsidRPr="00201A0D">
        <w:rPr>
          <w:rFonts w:ascii="Times New Roman" w:hAnsi="Times New Roman" w:cs="Times New Roman"/>
          <w:sz w:val="20"/>
          <w:szCs w:val="20"/>
        </w:rPr>
        <w:t>* - с учетом больных НПИ «Добывалово» 1954 человека.</w:t>
      </w:r>
      <w:r w:rsidRPr="00201A0D">
        <w:rPr>
          <w:rFonts w:ascii="Times New Roman" w:hAnsi="Times New Roman" w:cs="Times New Roman"/>
          <w:sz w:val="20"/>
          <w:szCs w:val="20"/>
        </w:rPr>
        <w:tab/>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 с учетом больных НПИ «Добывалово» 4957 человек.</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 данные в Росстате за 2012-2013 г.г. отсутствуют (см. сайт http://www.gks.ru/dbscripts/munst/munst.htm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Паспорт муниципального образования Едровского сельского поселение).</w:t>
      </w:r>
    </w:p>
    <w:p w:rsidR="00201A0D" w:rsidRPr="00201A0D" w:rsidRDefault="00201A0D" w:rsidP="00201A0D">
      <w:pPr>
        <w:spacing w:after="0"/>
        <w:jc w:val="both"/>
        <w:rPr>
          <w:rFonts w:ascii="Times New Roman" w:hAnsi="Times New Roman" w:cs="Times New Roman"/>
          <w:sz w:val="20"/>
          <w:szCs w:val="20"/>
        </w:rPr>
      </w:pPr>
      <w:bookmarkStart w:id="85" w:name="_Toc433382443"/>
      <w:r w:rsidRPr="00201A0D">
        <w:rPr>
          <w:rFonts w:ascii="Times New Roman" w:hAnsi="Times New Roman" w:cs="Times New Roman"/>
          <w:sz w:val="20"/>
          <w:szCs w:val="20"/>
        </w:rPr>
        <w:t>Заключение.</w:t>
      </w:r>
      <w:bookmarkEnd w:id="85"/>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 xml:space="preserve">Настоящие изменения генерального плана Едровского сельского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Едровского сельского поселения, в том числе с учетом инвестиционных проектов, предложенных Администрацией Едровского сельского поселения по населенному пункту – деревня Большое Носакино. Инвестиционный проект по д.Большое Носакино находится на ранних стадиях проработки, что весьма сильно затрудняет детальную проработку и разработку проектных решений по нему. До настоящего времени проект не включен ни в Схему территориального планирования Новгородской области, ни в иные документы районного и областного уровня. Реализация инвестиционного проекта вызывает серьезные </w:t>
      </w:r>
      <w:r w:rsidRPr="00201A0D">
        <w:rPr>
          <w:rFonts w:ascii="Times New Roman" w:hAnsi="Times New Roman" w:cs="Times New Roman"/>
          <w:sz w:val="20"/>
          <w:szCs w:val="20"/>
        </w:rPr>
        <w:lastRenderedPageBreak/>
        <w:t xml:space="preserve">опасения и требует для его реализации активных действий со стороны инвесторов и Администрации поселения. </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201A0D" w:rsidRPr="00201A0D" w:rsidRDefault="00201A0D" w:rsidP="00201A0D">
      <w:pPr>
        <w:spacing w:after="0"/>
        <w:jc w:val="both"/>
        <w:rPr>
          <w:rFonts w:ascii="Times New Roman" w:hAnsi="Times New Roman" w:cs="Times New Roman"/>
          <w:sz w:val="20"/>
          <w:szCs w:val="20"/>
        </w:rPr>
      </w:pPr>
      <w:r w:rsidRPr="00201A0D">
        <w:rPr>
          <w:rFonts w:ascii="Times New Roman" w:hAnsi="Times New Roman" w:cs="Times New Roman"/>
          <w:sz w:val="20"/>
          <w:szCs w:val="20"/>
        </w:rPr>
        <w:t>Генеральный план после его принятия станет основным документом, регулирующим целевое использования земель Едровского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467F1A" w:rsidRPr="00467F1A" w:rsidRDefault="00467F1A" w:rsidP="00467F1A">
      <w:pPr>
        <w:spacing w:after="0"/>
        <w:rPr>
          <w:rFonts w:ascii="Times New Roman" w:hAnsi="Times New Roman" w:cs="Times New Roman"/>
          <w:sz w:val="20"/>
          <w:szCs w:val="20"/>
        </w:rPr>
      </w:pPr>
      <w:bookmarkStart w:id="86" w:name="_Toc433382444"/>
      <w:r w:rsidRPr="00467F1A">
        <w:rPr>
          <w:rFonts w:ascii="Times New Roman" w:hAnsi="Times New Roman" w:cs="Times New Roman"/>
          <w:sz w:val="20"/>
          <w:szCs w:val="20"/>
        </w:rPr>
        <w:t>Приложение 1</w:t>
      </w:r>
      <w:bookmarkEnd w:id="86"/>
    </w:p>
    <w:p w:rsidR="00467F1A" w:rsidRPr="00467F1A" w:rsidRDefault="00467F1A" w:rsidP="00467F1A">
      <w:pPr>
        <w:spacing w:after="0"/>
        <w:jc w:val="center"/>
        <w:rPr>
          <w:rFonts w:ascii="Times New Roman" w:hAnsi="Times New Roman" w:cs="Times New Roman"/>
          <w:sz w:val="20"/>
          <w:szCs w:val="20"/>
        </w:rPr>
      </w:pPr>
      <w:r w:rsidRPr="00467F1A">
        <w:rPr>
          <w:rFonts w:ascii="Times New Roman" w:hAnsi="Times New Roman" w:cs="Times New Roman"/>
          <w:sz w:val="20"/>
          <w:szCs w:val="20"/>
        </w:rPr>
        <w:t>Российская Федерация</w:t>
      </w:r>
    </w:p>
    <w:p w:rsidR="00467F1A" w:rsidRPr="00467F1A" w:rsidRDefault="00467F1A" w:rsidP="00467F1A">
      <w:pPr>
        <w:spacing w:after="0"/>
        <w:jc w:val="center"/>
        <w:rPr>
          <w:rFonts w:ascii="Times New Roman" w:hAnsi="Times New Roman" w:cs="Times New Roman"/>
          <w:sz w:val="20"/>
          <w:szCs w:val="20"/>
        </w:rPr>
      </w:pPr>
      <w:r w:rsidRPr="00467F1A">
        <w:rPr>
          <w:rFonts w:ascii="Times New Roman" w:hAnsi="Times New Roman" w:cs="Times New Roman"/>
          <w:sz w:val="20"/>
          <w:szCs w:val="20"/>
        </w:rPr>
        <w:t>Новгородская область Валдайский район</w:t>
      </w:r>
    </w:p>
    <w:p w:rsidR="00467F1A" w:rsidRPr="00467F1A" w:rsidRDefault="00467F1A" w:rsidP="00467F1A">
      <w:pPr>
        <w:spacing w:after="0"/>
        <w:jc w:val="center"/>
        <w:rPr>
          <w:rFonts w:ascii="Times New Roman" w:hAnsi="Times New Roman" w:cs="Times New Roman"/>
          <w:sz w:val="20"/>
          <w:szCs w:val="20"/>
        </w:rPr>
      </w:pPr>
      <w:r w:rsidRPr="00467F1A">
        <w:rPr>
          <w:rFonts w:ascii="Times New Roman" w:hAnsi="Times New Roman" w:cs="Times New Roman"/>
          <w:sz w:val="20"/>
          <w:szCs w:val="20"/>
        </w:rPr>
        <w:t>АДМИНИСТРАЦИЯ ЕДРОВСКОГО СЕЛЬСКОГО ПОСЕЛЕНИЯ</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П О С Т А Н О В Л Е Н И Е</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от 09.01.2018   № 1</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с. Едрово</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О подготовке проекта внесения</w:t>
      </w:r>
      <w:r>
        <w:rPr>
          <w:rFonts w:ascii="Times New Roman" w:hAnsi="Times New Roman" w:cs="Times New Roman"/>
          <w:sz w:val="20"/>
          <w:szCs w:val="20"/>
        </w:rPr>
        <w:t xml:space="preserve"> </w:t>
      </w:r>
      <w:r w:rsidRPr="00467F1A">
        <w:rPr>
          <w:rFonts w:ascii="Times New Roman" w:hAnsi="Times New Roman" w:cs="Times New Roman"/>
          <w:sz w:val="20"/>
          <w:szCs w:val="20"/>
        </w:rPr>
        <w:t>изменений в Генеральный план</w:t>
      </w:r>
      <w:r>
        <w:rPr>
          <w:rFonts w:ascii="Times New Roman" w:hAnsi="Times New Roman" w:cs="Times New Roman"/>
          <w:sz w:val="20"/>
          <w:szCs w:val="20"/>
        </w:rPr>
        <w:t xml:space="preserve"> </w:t>
      </w:r>
      <w:r w:rsidRPr="00467F1A">
        <w:rPr>
          <w:rFonts w:ascii="Times New Roman" w:hAnsi="Times New Roman" w:cs="Times New Roman"/>
          <w:sz w:val="20"/>
          <w:szCs w:val="20"/>
        </w:rPr>
        <w:t>Едровского сельского поселения</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w:t>
      </w:r>
      <w:r w:rsidRPr="00467F1A">
        <w:rPr>
          <w:rFonts w:ascii="Times New Roman" w:hAnsi="Times New Roman" w:cs="Times New Roman"/>
          <w:sz w:val="20"/>
          <w:szCs w:val="20"/>
        </w:rPr>
        <w:tab/>
        <w:t xml:space="preserve">В целях уточнения назначения территорий Едровского сельского поселения,  исходя из социальных, экономических, экологических и иных факторов для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Новгородской области от 14.03.2007  года № 57-ОЗ «О регулировании градостроительной деятельности на территории Новгородской области», Уставом Едровского сельского поселения, а так же в целях приведения в соответствие действующему законодательству состава и структуры Генерального плана, структуризации и унификации информации об объектах федерального, регионального и местного значения в соответствии с частью 13 статьи 9 Градостроительного кодекса Российской Федерации </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ПОСТАНОВЛЯЮ:</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1.Приступить к подготовке проекта внесения изменений в Генеральный план Едровского сельского поселения.</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2. Утвердить План мероприятий по подготовке проекта внесения изменений в  Генеральный план Едровского сельского поселения (Приложение № 1).</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3. Поручить комиссии по подготовке предложений по внесению изменений в Генеральный план Едровского сельского поселения провести работы по подготовке проекта внесения изменений в Генеральный план Едровского сельского поселения в порядке, предусмотренном Градостроительным кодексом Российской Федерации.</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4. Опубликовать настоящее постановление в информационном бюллетене «Едровский вестник» и разместить на официальном сайте Администрации Едровского сельского поселения в сети Интернет.</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5. Настоящее постановление вступает в силу с момента официального опубликования.</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         6. Контроль за выполнением настоящего постановления оставляю за собой.</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 xml:space="preserve">Глава Едровского сельского поселения                                          С.В.Моденков                                    </w:t>
      </w:r>
    </w:p>
    <w:p w:rsidR="00467F1A" w:rsidRPr="00467F1A" w:rsidRDefault="00467F1A" w:rsidP="00467F1A">
      <w:pPr>
        <w:spacing w:after="0"/>
        <w:rPr>
          <w:rFonts w:ascii="Times New Roman" w:hAnsi="Times New Roman" w:cs="Times New Roman"/>
          <w:sz w:val="20"/>
          <w:szCs w:val="20"/>
        </w:rPr>
      </w:pPr>
    </w:p>
    <w:p w:rsidR="00467F1A" w:rsidRPr="00467F1A" w:rsidRDefault="00467F1A" w:rsidP="00467F1A">
      <w:pPr>
        <w:spacing w:after="0"/>
        <w:rPr>
          <w:rFonts w:ascii="Times New Roman" w:hAnsi="Times New Roman" w:cs="Times New Roman"/>
          <w:sz w:val="20"/>
          <w:szCs w:val="20"/>
        </w:rPr>
      </w:pPr>
      <w:bookmarkStart w:id="87" w:name="_Toc433382445"/>
      <w:r w:rsidRPr="00467F1A">
        <w:rPr>
          <w:rFonts w:ascii="Times New Roman" w:hAnsi="Times New Roman" w:cs="Times New Roman"/>
          <w:sz w:val="20"/>
          <w:szCs w:val="20"/>
        </w:rPr>
        <w:t>Приложение 2</w:t>
      </w:r>
      <w:bookmarkEnd w:id="87"/>
    </w:p>
    <w:p w:rsidR="00467F1A" w:rsidRPr="00467F1A" w:rsidRDefault="00467F1A" w:rsidP="00B612E4">
      <w:pPr>
        <w:spacing w:after="0"/>
        <w:jc w:val="center"/>
        <w:rPr>
          <w:rFonts w:ascii="Times New Roman" w:hAnsi="Times New Roman" w:cs="Times New Roman"/>
          <w:sz w:val="20"/>
          <w:szCs w:val="20"/>
        </w:rPr>
      </w:pPr>
      <w:r w:rsidRPr="00467F1A">
        <w:rPr>
          <w:rFonts w:ascii="Times New Roman" w:hAnsi="Times New Roman" w:cs="Times New Roman"/>
          <w:sz w:val="20"/>
          <w:szCs w:val="20"/>
        </w:rPr>
        <w:t>ПЕРЕЧЕНЬ И ХАРАКТЕРИСТИКА ОСНОВНЫХ ФАКТОРОВ РИСКА ВОЗНИКНОВЕНИЯ ЧРЕЗВЫЧАЙНЫХ СИТУАЦИ</w:t>
      </w:r>
      <w:r w:rsidR="00B612E4">
        <w:rPr>
          <w:rFonts w:ascii="Times New Roman" w:hAnsi="Times New Roman" w:cs="Times New Roman"/>
          <w:sz w:val="20"/>
          <w:szCs w:val="20"/>
        </w:rPr>
        <w:t xml:space="preserve">Й </w:t>
      </w:r>
      <w:r w:rsidRPr="00467F1A">
        <w:rPr>
          <w:rFonts w:ascii="Times New Roman" w:hAnsi="Times New Roman" w:cs="Times New Roman"/>
          <w:sz w:val="20"/>
          <w:szCs w:val="20"/>
        </w:rPr>
        <w:t>ПРИРОДНОГО И ТЕХНОГЕННОГО ХАРАКТЕРА.</w:t>
      </w:r>
    </w:p>
    <w:p w:rsidR="00467F1A" w:rsidRPr="00467F1A" w:rsidRDefault="00467F1A" w:rsidP="00467F1A">
      <w:pPr>
        <w:spacing w:after="0"/>
        <w:rPr>
          <w:rFonts w:ascii="Times New Roman" w:hAnsi="Times New Roman" w:cs="Times New Roman"/>
          <w:sz w:val="20"/>
          <w:szCs w:val="20"/>
        </w:rPr>
      </w:pPr>
      <w:r w:rsidRPr="00467F1A">
        <w:rPr>
          <w:rFonts w:ascii="Times New Roman" w:hAnsi="Times New Roman" w:cs="Times New Roman"/>
          <w:sz w:val="20"/>
          <w:szCs w:val="20"/>
        </w:rPr>
        <w:t>(материалы подготовлены с учетом письма Министерства Российской Федерации по делам гражданской обороны, чрезвычайным ситуациям и ликвидации последствий стихийных бедствий (МЧС России) от 11.07.2014 года № 7-3-2382)</w:t>
      </w:r>
    </w:p>
    <w:p w:rsidR="00467F1A" w:rsidRPr="00467F1A" w:rsidRDefault="00467F1A" w:rsidP="00467F1A">
      <w:pPr>
        <w:jc w:val="both"/>
        <w:rPr>
          <w:rFonts w:ascii="Times New Roman" w:hAnsi="Times New Roman" w:cs="Times New Roman"/>
          <w:sz w:val="20"/>
          <w:szCs w:val="20"/>
        </w:rPr>
      </w:pPr>
      <w:r w:rsidRPr="00467F1A">
        <w:rPr>
          <w:rFonts w:ascii="Times New Roman" w:hAnsi="Times New Roman" w:cs="Times New Roman"/>
          <w:sz w:val="20"/>
          <w:szCs w:val="20"/>
        </w:rPr>
        <w:t xml:space="preserve">Раздел «Перечень основных факторов риска возникновения чрезвычайных ситуаций природного и техногенного характера» разработан в соответствии со ст. 19 Градостроительного кодекса РФ на основании исходных данных и требований для разработки «ИТМ ГО ЧС» в проекте изменений  генерального плана Едровского сельского поселения Валдайского муниципального района с использованием данных  Паспорта </w:t>
      </w:r>
      <w:r w:rsidRPr="00467F1A">
        <w:rPr>
          <w:rFonts w:ascii="Times New Roman" w:hAnsi="Times New Roman" w:cs="Times New Roman"/>
          <w:sz w:val="20"/>
          <w:szCs w:val="20"/>
        </w:rPr>
        <w:lastRenderedPageBreak/>
        <w:t>безопасности территории Едровского сельского поселения Валдайского  района Новгородской области (разработан ООО «Научно-технический центр «Неон», В.Новгород, 2012. Утвержден Главой Едровского сельского поселения 05.09.2012 г, согласован ВрИО начальника Главного управления МЧС России по Новгородской области от 03.09.2012 г.). Паспорт безопасности был представлен Администрацией Едровского сельского поселения.</w:t>
      </w:r>
    </w:p>
    <w:p w:rsidR="00467F1A" w:rsidRPr="00467F1A" w:rsidRDefault="00467F1A" w:rsidP="00B612E4">
      <w:pPr>
        <w:spacing w:after="0"/>
        <w:jc w:val="center"/>
        <w:rPr>
          <w:rFonts w:ascii="Times New Roman" w:hAnsi="Times New Roman" w:cs="Times New Roman"/>
          <w:sz w:val="20"/>
          <w:szCs w:val="20"/>
        </w:rPr>
      </w:pPr>
      <w:r w:rsidRPr="00467F1A">
        <w:rPr>
          <w:rFonts w:ascii="Times New Roman" w:hAnsi="Times New Roman" w:cs="Times New Roman"/>
          <w:sz w:val="20"/>
          <w:szCs w:val="20"/>
        </w:rPr>
        <w:t>Введение.</w:t>
      </w:r>
    </w:p>
    <w:p w:rsidR="00467F1A" w:rsidRPr="00467F1A" w:rsidRDefault="00467F1A" w:rsidP="00B612E4">
      <w:pPr>
        <w:spacing w:after="0"/>
        <w:jc w:val="both"/>
        <w:rPr>
          <w:rFonts w:ascii="Times New Roman" w:hAnsi="Times New Roman" w:cs="Times New Roman"/>
          <w:sz w:val="20"/>
          <w:szCs w:val="20"/>
        </w:rPr>
      </w:pPr>
      <w:r w:rsidRPr="00467F1A">
        <w:rPr>
          <w:rFonts w:ascii="Times New Roman" w:hAnsi="Times New Roman" w:cs="Times New Roman"/>
          <w:sz w:val="20"/>
          <w:szCs w:val="20"/>
        </w:rPr>
        <w:t>Мероприятия по защите территории Едровского сельского  поселения Валдайского района должны быть отражены в  генеральном  плане и увязаны  с природными и техногенными условиями,  а так же должны регулироваться выбором планировочных, конструктивных и инженерно-технических решений застройки территории.</w:t>
      </w:r>
    </w:p>
    <w:p w:rsidR="00467F1A" w:rsidRPr="00467F1A" w:rsidRDefault="00467F1A" w:rsidP="00B612E4">
      <w:pPr>
        <w:spacing w:after="0"/>
        <w:jc w:val="both"/>
        <w:rPr>
          <w:rFonts w:ascii="Times New Roman" w:hAnsi="Times New Roman" w:cs="Times New Roman"/>
          <w:sz w:val="20"/>
          <w:szCs w:val="20"/>
        </w:rPr>
      </w:pPr>
      <w:r w:rsidRPr="00467F1A">
        <w:rPr>
          <w:rFonts w:ascii="Times New Roman" w:hAnsi="Times New Roman" w:cs="Times New Roman"/>
          <w:sz w:val="20"/>
          <w:szCs w:val="20"/>
        </w:rPr>
        <w:t>Исходные данные (в соответствии с Паспортом безопасности):</w:t>
      </w:r>
    </w:p>
    <w:p w:rsidR="00467F1A" w:rsidRPr="00467F1A" w:rsidRDefault="00467F1A" w:rsidP="00B612E4">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Общая характеристика территории Едровского сельского поселения представлена ниже в таблице: </w:t>
      </w:r>
    </w:p>
    <w:p w:rsidR="00467F1A" w:rsidRPr="00467F1A" w:rsidRDefault="00467F1A" w:rsidP="00B612E4">
      <w:pPr>
        <w:spacing w:after="0"/>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6245"/>
        <w:gridCol w:w="2563"/>
      </w:tblGrid>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п/п</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Общие сведения о территории</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Значение показателя на момент разработки паспорта безопасности </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Общая численность населения,  тыс. чел.</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2,074</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Площадь территории, км2</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536,55</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населенных пунктов, в т.ч. городов</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населенных пунктов с объектами особой важности (ОВ) и 1 категории</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потенциально опасных объектов</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критически важных объектов</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7.</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мест массового скопления людей (образовательные учреждения, медицинские, культурно-спортивные и др.)</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15</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8.</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чрезвычайных ситуаций, ед. в т.ч.</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Техногенного характера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Природного характера</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9.</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Размер ущерба от чрезвычайных ситуаций, тыс.руб., в т.ч.</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Техногенного характера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Природного характера</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10.</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Показатель комплексного риска для населения и территории от чрезвычайных ситуаций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Природного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Техногенного характера, год-1</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10-8</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11.</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Показатель приемлемого риска, год-1</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персонала;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населения, проживающего на близлежащей территории</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10-6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10-8</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Характеристика природных условий территории</w:t>
            </w:r>
          </w:p>
        </w:tc>
        <w:tc>
          <w:tcPr>
            <w:tcW w:w="2799" w:type="dxa"/>
          </w:tcPr>
          <w:p w:rsidR="00467F1A" w:rsidRPr="00467F1A" w:rsidRDefault="00467F1A" w:rsidP="00467F1A">
            <w:pPr>
              <w:spacing w:after="0"/>
              <w:jc w:val="both"/>
              <w:rPr>
                <w:rFonts w:ascii="Times New Roman" w:hAnsi="Times New Roman" w:cs="Times New Roman"/>
                <w:sz w:val="20"/>
                <w:szCs w:val="20"/>
              </w:rPr>
            </w:pP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12.</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Среднегодовые: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Направление ветра</w:t>
            </w: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Скорость</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Относительная влажность</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С-6, СВ-7, В-10, ЮВ-11, Ю-14, ЮЗ-20, З-23, СЗ-9</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11,6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81</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13.</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Максимальное значение по сезонам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Скорость ветра, км/ч</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Зима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Весна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Лето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Осень</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54,0</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64,8</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75,6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64,8</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14.</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атмосферных осадков,</w:t>
            </w:r>
            <w:r>
              <w:rPr>
                <w:rFonts w:ascii="Times New Roman" w:hAnsi="Times New Roman" w:cs="Times New Roman"/>
                <w:sz w:val="20"/>
                <w:szCs w:val="20"/>
              </w:rPr>
              <w:t xml:space="preserve"> </w:t>
            </w:r>
            <w:r w:rsidRPr="00467F1A">
              <w:rPr>
                <w:rFonts w:ascii="Times New Roman" w:hAnsi="Times New Roman" w:cs="Times New Roman"/>
                <w:sz w:val="20"/>
                <w:szCs w:val="20"/>
              </w:rPr>
              <w:t>мм: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Среднегодовое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Максимальное (по сезонам)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Зима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Весна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Лето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Осень</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650</w:t>
            </w: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216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295</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390</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358</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15.</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Температура,  ОС:</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Среднегодовая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Максимальная (по сезонам)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Зима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Весна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Лето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Осень</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+3,6</w:t>
            </w: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-4,1</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+25,6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34,8</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24,2</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Транспортная освоенность территории</w:t>
            </w:r>
          </w:p>
        </w:tc>
        <w:tc>
          <w:tcPr>
            <w:tcW w:w="2799" w:type="dxa"/>
          </w:tcPr>
          <w:p w:rsidR="00467F1A" w:rsidRPr="00467F1A" w:rsidRDefault="00467F1A" w:rsidP="00467F1A">
            <w:pPr>
              <w:spacing w:after="0"/>
              <w:jc w:val="both"/>
              <w:rPr>
                <w:rFonts w:ascii="Times New Roman" w:hAnsi="Times New Roman" w:cs="Times New Roman"/>
                <w:sz w:val="20"/>
                <w:szCs w:val="20"/>
              </w:rPr>
            </w:pP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16.</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Протяженность железнодорожных путей, всего, км</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14</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17.</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Протяженность автомобильных дорог, км</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176</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18.</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населенных пунктов, не обеспеченных подъездными дорогами с твердым покрытием, ед.</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19.</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населенных пунктов, не обеспеченных телефонной связью</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20.</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Административные районы, в пределах которых расположены участки ж/д, подверженных размыву, затоплению и др.</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21.</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Административные районы, в пределах которых расположены участки автомагистралей, подверженных размыву и др.</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22.</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мостов, ед.</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7</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23.</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ж/мостов, ед.</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24.</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Протяженность водных путей, км.</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25.</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основных портов, ед.</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шлюзов, ед.</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27.</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аэропортов, посадочных площадок</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28.</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Протяженность магистральных трубопроводов, км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Нефтепроводов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Нефтепродуктов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Газопроводов</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54,9</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Характеристика опасных объектов на территории</w:t>
            </w:r>
          </w:p>
        </w:tc>
        <w:tc>
          <w:tcPr>
            <w:tcW w:w="2799" w:type="dxa"/>
          </w:tcPr>
          <w:p w:rsidR="00467F1A" w:rsidRPr="00467F1A" w:rsidRDefault="00467F1A" w:rsidP="00467F1A">
            <w:pPr>
              <w:spacing w:after="0"/>
              <w:jc w:val="both"/>
              <w:rPr>
                <w:rFonts w:ascii="Times New Roman" w:hAnsi="Times New Roman" w:cs="Times New Roman"/>
                <w:sz w:val="20"/>
                <w:szCs w:val="20"/>
              </w:rPr>
            </w:pP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Ядерно и радиоактивные опасные объекты</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Химически опасные объекты</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Пожаро-взрывоопасные объекты</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Биологически опасные объекты</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Гидротехнические сооружения</w:t>
            </w:r>
          </w:p>
        </w:tc>
        <w:tc>
          <w:tcPr>
            <w:tcW w:w="2799"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A51C94">
        <w:tc>
          <w:tcPr>
            <w:tcW w:w="817"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w:t>
            </w:r>
          </w:p>
        </w:tc>
        <w:tc>
          <w:tcPr>
            <w:tcW w:w="680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Возможные выбросы, тонн/год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мест размещения отходов, ед.: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Мест захоронения промышленных и бытовых отходов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Мест захоронения радиоактивных отходов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Могильников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Свалок (организованных/неорганизованных)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Карьеров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Терриконов и др.</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Количество отходов, тонн</w:t>
            </w:r>
          </w:p>
        </w:tc>
        <w:tc>
          <w:tcPr>
            <w:tcW w:w="2799" w:type="dxa"/>
          </w:tcPr>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5000</w:t>
            </w:r>
          </w:p>
        </w:tc>
      </w:tr>
    </w:tbl>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 Перечень и характеристика основных факторов риска возникновения чрезвычайных ситуаций природного и техногенного характера.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2.1.Перечень возможных источников чрезвычайных ситуаций природного характера.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Согласно СНиП 22-01-95 «Геофизика опасных природных воздействий» по оценке сложности природных условий территория Едровского сельского поселения Валдайского  района Новгородской области  относится </w:t>
      </w:r>
      <w:r w:rsidRPr="00467F1A">
        <w:rPr>
          <w:rFonts w:ascii="Times New Roman" w:hAnsi="Times New Roman" w:cs="Times New Roman"/>
          <w:sz w:val="20"/>
          <w:szCs w:val="20"/>
        </w:rPr>
        <w:lastRenderedPageBreak/>
        <w:t xml:space="preserve">к категории простых. Однако усиливающееся воздействие человеческого общества на природную среду может привести к сложным проявлениям.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Опасные геологические процессы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Риски возникновения землетрясений.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Территория Едровского сельского поселения не относится к сейсмоопасным районам.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Риски возникновения лавино - селеопасных явлений.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Риски возникновения лавинно - селеопасной обстановки на территории поселения отсутствуют.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Риски возникновения геологических опасных явлений на территории сельского поселения отсутствуют. На территории района пещеры, рудники, шахты и другие горные выработки отсутствуют.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Однако, на территории  Валдайского муниципального района, в том числе и на территории Едровского сельского поселения  отмечено развитие карстовых процессов. 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предотвращения негативных последствий ЭГП рекомендуется: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при проведении инженерно-геологических изысканий под строительство проводить оценку подверженности выбранных участков современным инженерно-геологическим процессам;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на вновь выбранных и уже застроенных участках, выполнять рекомендованные профилактические мероприятия. Такие как: наблюдения за сохранностью и устойчивостью сооружений, запрещение распашки склонов, проведение регулирования поверхностного стока, осуществление посадки и сохранности древесно-кустарниковой растительности;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проведение инженерно-геологического районирования территории по условиям развития и распространения ЭГП и по интенсивности их проявления;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организация постоянного ведения мониторинга ЭГП.</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При освоении закарстованных территорий необходимо проведение специальных изысканий для определения категории устойчивости и назначение противокарстовых мероприятий.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 числу неблагоприятных природных факторов следует отнести наличие значительного количества заболоченных земель, низкое естественное плодородие почв и мелкоконтурность сельскохозяйственных угодий.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Основаниями зданий и сооружений будут служить устойчивые грунты. 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 Освоение участков, подверженных развитию опасных геологических процессов при градостроительном освоении, требует применения специальных инженерных мероприятий по укреплению оснований или усилению несущих конструкций сооружений.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Опасные гидрологические явления и процессы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Риски подтопления (затопления).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 данным Паспорта безопасности территории Едроского сельского поселения Валдайского района Новгородской области, подтопление жилых построек не происходит. В период весеннего половодья в зону возможного подтопления попадают только хозяйственные постройки и огороды. Эвакуационные мероприятия, связанные с весенним паводком, не проводятся.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 территории поселения протекает несколько небольших рек и находится ряд достаточно крупных озер. Вероятность подтопления территории сельского поселения низкая. Вместе с тем на территории поселения имеется одна деревня Красилово (общая численность жителей 24 человека), которая расположена на берегу озера Шлино и некоторые строения деревни (расположенные на полуострове, далеко выступающем в озеро,  в южной части деревни) подвержены подтоплению (рис.2.1.1.). Схемой территориального планирования Новгородской области (утверждена </w:t>
      </w:r>
      <w:hyperlink w:anchor="sub_0" w:history="1">
        <w:r w:rsidRPr="00467F1A">
          <w:rPr>
            <w:rFonts w:ascii="Times New Roman" w:hAnsi="Times New Roman" w:cs="Times New Roman"/>
            <w:sz w:val="20"/>
            <w:szCs w:val="20"/>
          </w:rPr>
          <w:t>Постановление</w:t>
        </w:r>
      </w:hyperlink>
      <w:r w:rsidRPr="00467F1A">
        <w:rPr>
          <w:rFonts w:ascii="Times New Roman" w:hAnsi="Times New Roman" w:cs="Times New Roman"/>
          <w:sz w:val="20"/>
          <w:szCs w:val="20"/>
        </w:rPr>
        <w:t>м  Администрации Новгородской области от 26 июня 2012 г. №370) на расчетный срок (до 2030 г.) предусмотрено проведение мероприятий по защите от паводков по д.Красилово.</w:t>
      </w:r>
    </w:p>
    <w:p w:rsidR="00467F1A" w:rsidRPr="00467F1A" w:rsidRDefault="00467F1A" w:rsidP="00467F1A">
      <w:r>
        <w:rPr>
          <w:noProof/>
        </w:rPr>
        <w:lastRenderedPageBreak/>
        <w:drawing>
          <wp:inline distT="0" distB="0" distL="0" distR="0">
            <wp:extent cx="4267200" cy="4133850"/>
            <wp:effectExtent l="19050" t="0" r="0" b="0"/>
            <wp:docPr id="18" name="Рисунок 18" descr="Карта_ГО_и_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а_ГО_и_ЧС"/>
                    <pic:cNvPicPr>
                      <a:picLocks noChangeAspect="1" noChangeArrowheads="1"/>
                    </pic:cNvPicPr>
                  </pic:nvPicPr>
                  <pic:blipFill>
                    <a:blip r:embed="rId71"/>
                    <a:srcRect/>
                    <a:stretch>
                      <a:fillRect/>
                    </a:stretch>
                  </pic:blipFill>
                  <pic:spPr bwMode="auto">
                    <a:xfrm>
                      <a:off x="0" y="0"/>
                      <a:ext cx="4267200" cy="4133850"/>
                    </a:xfrm>
                    <a:prstGeom prst="rect">
                      <a:avLst/>
                    </a:prstGeom>
                    <a:noFill/>
                    <a:ln w="9525">
                      <a:noFill/>
                      <a:miter lim="800000"/>
                      <a:headEnd/>
                      <a:tailEnd/>
                    </a:ln>
                  </pic:spPr>
                </pic:pic>
              </a:graphicData>
            </a:graphic>
          </wp:inline>
        </w:drawing>
      </w:r>
    </w:p>
    <w:p w:rsidR="00467F1A" w:rsidRPr="00467F1A" w:rsidRDefault="00467F1A" w:rsidP="00467F1A"/>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Рис.2.1.1. Схема расположения деревни Красилово и зоны подтопления на ее территории.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Согласно решению Новгородского облисполкома от 02.04.91 г. №128 «О мерах по защите населенных пунктов и объектов народного хозяйства от наводнений», проектирование и строительство производственных и социально-бытовых объектов, жилых домов необходимо осуществлять на участках не подверженных затоплению (выше отметки 23,00 м БС).</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 планируемых под застройку территориях, находящихся ниже отметки 23,00 м необходимо выполнить мероприятия по защите от затопления. Наиболее эффективным способом является повышение поверхности территории до незатапливаемых отметок (подсыпка участков), оно позволяет выполнять работу постепенно, по мере освоения очередного участка. При этом единовременные денежные вложения не требуют последующих затрат. Посадку зданий необходимо осуществлять не менее чем на 0,5 м выше расчетного уровня воды в водном объекте с учетом расчетной высоты волны и ее наката.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Опасные метеорологические явления: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 территории поселения наблюдаются следующие метеорологические явления: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шквалистый ветер, скорость ветра (включая порывы) 25 м/сек и более;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сильные снегопады и морозы,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гололед,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ливневые дожди,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грозы,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град.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Ветровые нагрузки – 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 При скорости ветра более 25 м/с здания и сооружения  на территории Едровского сельского поселения могут получить слабые разрушения:  разрушение наименее прочных конструкций зданий (заполнений дверных и оконных проемов, небольшие трещины в стенах) и технологического оборудования (повреждение и деформация отдельных деталей, электропроводки, приборов автоматики).  </w:t>
      </w:r>
      <w:r w:rsidRPr="00467F1A">
        <w:rPr>
          <w:rFonts w:ascii="Times New Roman" w:hAnsi="Times New Roman" w:cs="Times New Roman"/>
          <w:sz w:val="20"/>
          <w:szCs w:val="20"/>
        </w:rPr>
        <w:lastRenderedPageBreak/>
        <w:t>Ветровые воздействия в поселении не представляют непосредственной опасности для жизни и здоровья людей.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Разрушение зданий при шквалистом ветре и перехлестывание проводов ЛЭП способствуют возникновению и быстрому распространению массовых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Выпадение снега.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180 кг/м2, установленных СНиП 2.01.07-85* «Нагрузки и воздействия» для данного района строительства.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 результате обильного выпадения осадков, сопровождающих шквалистый ветер, могут возникнуть затопления местности, а зимой - снежные заносы на большой территории.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Сильные морозы. 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замерзание природного газа в наружных сетях газопроводов низкого давления. Абсолютный температурный минимум на территории поселения – минус 47оС.</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Работа оборудования должна быть рассчитана, исходя из температур наружного воздуха, в течение наиболее холодной пятидневки (теплоизоляция помещений, водоочистных сооружений, глубина заложения и конструкция теплоизоляции коммуникаций должны быть выбраны в соответствии с требованиями СНиП 23-01-99 «Строительная климатология» для климатического пояса, соответствующего условиям района).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Ливневые дожди. 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межпоселкового уровня.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результате ливневых дождей увеличивается обрушение речных откосов.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Показатели риска природных ЧС на территории Едровского сельского поселения представлены ниже в таблице 2.1.1.</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Таблица 2.1.1.</w:t>
      </w:r>
    </w:p>
    <w:p w:rsidR="00467F1A" w:rsidRPr="00467F1A" w:rsidRDefault="00467F1A" w:rsidP="00467F1A">
      <w:pPr>
        <w:spacing w:after="0"/>
        <w:jc w:val="both"/>
        <w:rPr>
          <w:rFonts w:ascii="Times New Roman" w:hAnsi="Times New Roman" w:cs="Times New Roman"/>
          <w:sz w:val="20"/>
          <w:szCs w:val="20"/>
        </w:rPr>
      </w:pPr>
    </w:p>
    <w:tbl>
      <w:tblPr>
        <w:tblW w:w="0" w:type="auto"/>
        <w:tblInd w:w="-10" w:type="dxa"/>
        <w:tblCellMar>
          <w:left w:w="0" w:type="dxa"/>
          <w:right w:w="0" w:type="dxa"/>
        </w:tblCellMar>
        <w:tblLook w:val="0000"/>
      </w:tblPr>
      <w:tblGrid>
        <w:gridCol w:w="1297"/>
        <w:gridCol w:w="891"/>
        <w:gridCol w:w="891"/>
        <w:gridCol w:w="1146"/>
        <w:gridCol w:w="580"/>
        <w:gridCol w:w="978"/>
        <w:gridCol w:w="946"/>
        <w:gridCol w:w="863"/>
        <w:gridCol w:w="1121"/>
        <w:gridCol w:w="662"/>
      </w:tblGrid>
      <w:tr w:rsidR="00467F1A" w:rsidRPr="00467F1A" w:rsidTr="00B612E4">
        <w:trPr>
          <w:trHeight w:val="23"/>
          <w:tblHeader/>
        </w:trPr>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наиболее опасном сценарии развития ЧС/при наиболее вероятном сценарии развития ЧС) виды опасных природных явлений</w:t>
            </w:r>
          </w:p>
        </w:tc>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Интен-сив-ность природного явле-ния </w:t>
            </w:r>
          </w:p>
        </w:tc>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Часто-та природного явле-ния, год-1 </w:t>
            </w:r>
          </w:p>
        </w:tc>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Частота наступления ЧС при возникновении природ-ного явления, год -1</w:t>
            </w:r>
          </w:p>
        </w:tc>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Разме-ры зон вероят-ной ЧС, км2 </w:t>
            </w:r>
          </w:p>
        </w:tc>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Возможное количество населенных пунктов, попадающих в зону ЧС, тыс.чел. </w:t>
            </w:r>
          </w:p>
        </w:tc>
        <w:tc>
          <w:tcPr>
            <w:tcW w:w="0" w:type="auto"/>
            <w:vMerge w:val="restart"/>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Возможная численность населения в зоне ЧС с нарушением условий жизнедея-тельности, тыс.чел. </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Социально-экономические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последствия </w:t>
            </w:r>
          </w:p>
        </w:tc>
      </w:tr>
      <w:tr w:rsidR="00467F1A" w:rsidRPr="00467F1A" w:rsidTr="00B612E4">
        <w:trPr>
          <w:trHeight w:val="23"/>
          <w:tblHeader/>
        </w:trPr>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Возможное число погиб-ших, чел.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Возможное число пострадавших, чел. </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Возмож-ный ущерб, тыс. руб. </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1.Землетрясения, балл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7-8</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8-9</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&gt;9</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2.Извержения вулканов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3.Оползни, м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4.Селевые потоки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5.Снежные лавины, м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6.Ураганы, тайфуны, смерчи, м/с</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&gt;32</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7.Бури, м/с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&gt;32</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 xml:space="preserve">8.Штормы, м/с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15-31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2-3</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2-3</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5636,55</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26/2,074</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2,074</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50-100</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9.Град, мм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20-31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&lt;1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&lt;1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150</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26/2,074</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2,074</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50-100</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10.Цунами, м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&gt;5</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11.Наводнения, м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&gt;5</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12.Подтопления, м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&gt;5</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0,5</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0,005</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150</w:t>
            </w:r>
          </w:p>
        </w:tc>
      </w:tr>
      <w:tr w:rsidR="00467F1A" w:rsidRPr="00467F1A" w:rsidTr="00B612E4">
        <w:trPr>
          <w:trHeight w:val="23"/>
        </w:trPr>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13. Пожары природные, га </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&gt;1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&lt;1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0,5-1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0,5-1</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0,500</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150</w:t>
            </w:r>
          </w:p>
        </w:tc>
      </w:tr>
    </w:tbl>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2.2. Перечень возможных источников чрезвычайных ситуаций техногенного характера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 территории Едровского сельского поселения отсутствуют: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Радиационно-опасные объекты;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Химически-опасные объекты;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Биологически опасные объекты;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Гидротехнические сооружения.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Возможность возникновения чрезвычайных ситуаций имеется на следующих объектах Едровского сельского поселения: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пожаро- и взрывоопасных объектах: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  Магистральный газопровод ООО «ГазпромТрансГаз Санкт-Петербург», (Валдайское ЛПУМГ филиал ООО «ГазпромТрансГаз Санкт-Петербург».  По газопроводу осуществляется транспортировка и поставка природного газа. Общая протяженность газопровода  на территории поселения составляет 54,9 км. Рабочее давление 5,5 МПа, Ду-700 (газопровод «Серпухов-Ленинград», 18 км), Ду-1000 («Белоусово- Ленинград», 16 км), Ду-1000 (Валдай-Псков-Рига-2, 19 км), Ду-89 (отвод к ГРС Едрово, 1,9 км). Численность персонала -2 обходчика.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Минимальное расстояние от центра аварии до точки размещения населения – 50 м. В случае разгерметизации газопровода горючая смесь скапливается в приямке или низине. Численность персонала, который может находиться в зоне поражения – 2 человека (обходчики).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 АЗС №55 Валдайской нефтебазы ООО «Новго</w:t>
      </w:r>
      <w:r w:rsidRPr="00467F1A">
        <w:rPr>
          <w:rFonts w:ascii="Times New Roman" w:hAnsi="Times New Roman" w:cs="Times New Roman"/>
          <w:sz w:val="20"/>
          <w:szCs w:val="20"/>
        </w:rPr>
        <w:softHyphen/>
        <w:t>роднеф</w:t>
      </w:r>
      <w:r w:rsidRPr="00467F1A">
        <w:rPr>
          <w:rFonts w:ascii="Times New Roman" w:hAnsi="Times New Roman" w:cs="Times New Roman"/>
          <w:sz w:val="20"/>
          <w:szCs w:val="20"/>
        </w:rPr>
        <w:softHyphen/>
        <w:t>тепродукт», с. Едрово (НК «Сургутнефтегаз»). Расположена на 362 км автодороги «Россия». Осуществляет розничную торговлю светлыми нефтепродуктами. Площадь территории 1546 м2, санитарно-защитная зона – 100 м. Хранение нефтепродуктов в подземных резервуарах (3 шт., макс. объем резервуара – 25 м3. Общий объем храни</w:t>
      </w:r>
      <w:r w:rsidR="00B612E4">
        <w:rPr>
          <w:rFonts w:ascii="Times New Roman" w:hAnsi="Times New Roman" w:cs="Times New Roman"/>
          <w:sz w:val="20"/>
          <w:szCs w:val="20"/>
        </w:rPr>
        <w:t>мых нефтепродуктов (бензин и диз</w:t>
      </w:r>
      <w:r w:rsidRPr="00467F1A">
        <w:rPr>
          <w:rFonts w:ascii="Times New Roman" w:hAnsi="Times New Roman" w:cs="Times New Roman"/>
          <w:sz w:val="20"/>
          <w:szCs w:val="20"/>
        </w:rPr>
        <w:t xml:space="preserve">топливо - 75 м3). Доставка нефтепродуктов – автоцистерны – 8 м3. Наибольшая рабочая смена – 2 человека (общая численность персонала – 8 чел.). Расстояние до ближайших построек – 110 м.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Наиболее опасная авария – разгерметизация автоцистерны с бензином объемом 8 м3 (время испарения пролива нефтепродуктов 1 час, размер площади разлива до 2960 м2). Среднее расстояние  точки размещения персонала до центра радиуса аварии – 20 м, до размещения населения – 110 м. Поражающие факторы возможной аварии:  воздушная ударная волна;  тепловое излучение горящего разлива и огненный шар.</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3. АЗС №15 Новго</w:t>
      </w:r>
      <w:r w:rsidRPr="00467F1A">
        <w:rPr>
          <w:rFonts w:ascii="Times New Roman" w:hAnsi="Times New Roman" w:cs="Times New Roman"/>
          <w:sz w:val="20"/>
          <w:szCs w:val="20"/>
        </w:rPr>
        <w:softHyphen/>
        <w:t>родского филиала ООО «ЛУКОЙЛ-Северо-Западнефтепродукт». Осуществляет оптовую и розничную торговлю нефтепродуктами. Санитарно-защитная зона – 100 м. Расстояние до ближайших построек – 0,1 км. На АЗС имеются емкости для хранения дизтоплива (150,8 м3), АИ-80 (53,0), АИ-92 (52,1), АИ -95 (54,6). Доставка нефтепродуктов – автоцистерны – 25 м3. Хранение нефтепродуктов в подземных резервуарах, мкаксимальная емкость – 54,6 м3. Наибольшая рабочая смена – 2 человека (общая численность персонала – 11 чел.). Наиболее опасная авария – разгерметизация автоцистерны с бензином объемом 25 м3 (время испарения пролива нефтепродуктов 1 час, размер площади разлива до 2960 м2). Среднее расстояние  точки размещения персонала до центра радиуса аварии – 20м, до размещения населения – 110 м. Наиболее вероятный сценарий развития аварии: повреждение технологического оборудования (автоцистерны) – разлив нефтепродуктов – пожар пролива.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 АЗС №31 ЗАО «Газпромнефть-Северо-Запад» с.Едрово, а/м дорога М-10 368 км+700 м (справа). Хранение нефтепродуктов в подземных резервуарах, мкаксимальная емкость – 50,0 м3.  Общий объем нефтепродуктов 112,5 м3. Наибольшая рабочая смена – 2 человека. Доставка нефтепродуктов – автоцистерны – 25 м3. Наиболее опасная авария – разгерметизация автоцистерны с бензином объемом 25 м3 (время испарения пролива нефтепродуктов 1 час, размер площади разлива до 2960 м2). Среднее расстояние  точки размещения персонала до центра радиуса аварии – 20 м, до размещения населения – 110 м. Наиболее вероятный сценарий развития аварии: повреждение технологического оборудования (автоцистерны) – разлив нефтепродуктов – пожар пролива.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 АЗС №32 ЗАО «Газпромнефть-Северо-Запад» с.Едрово, а/м дорога М-10 368 км+900 м (слева). Хранение нефтепроду</w:t>
      </w:r>
      <w:r w:rsidR="00B612E4">
        <w:rPr>
          <w:rFonts w:ascii="Times New Roman" w:hAnsi="Times New Roman" w:cs="Times New Roman"/>
          <w:sz w:val="20"/>
          <w:szCs w:val="20"/>
        </w:rPr>
        <w:t>ктов в подземных резервуарах, м</w:t>
      </w:r>
      <w:r w:rsidRPr="00467F1A">
        <w:rPr>
          <w:rFonts w:ascii="Times New Roman" w:hAnsi="Times New Roman" w:cs="Times New Roman"/>
          <w:sz w:val="20"/>
          <w:szCs w:val="20"/>
        </w:rPr>
        <w:t>аксимальная емкость – 50,0 м3.  Общий объем нефтепродуктов 112,5 м3. Наибольшая рабочая смена – 2 человека. Доставка нефтепродуктов – автоцистерны – 25 м3. Наиболее опасная авария – разгерметизация автоцистерны с бензином объемом 25 м3 (время испарения пролива нефтепродуктов 1 час, размер площади разлива до 2960 м2). Среднее расстояние  точки размещения персонала до центра радиуса аварии – 20м, до размещения населения – 110 м. Наиболее вероятный сценарий развития аварии: повреждение технологического оборудования (автоцистерны) – разлив нефтепродуктов – пожар пролива.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при эксплуатации транспортных средств: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 автомобильные дороги,  по которым могут перевозиться аварийно химически опасные  вещества (АХОВ), горюче-смазочные материалы (ГСМ), сжиженные углеводороды (СУГ).</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Основные причины ЧС на транспорте: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аварии из-за нарушения ПДД и низкое техническое состояние автотранспорта;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низкая пропускная способность улиц и дорог, отсутствие современных транспортных развязок;</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наличие  крутых поворотов, мостов, подъемов и спусков на автодорогах;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нзкая подготовка водителей;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плохое состояние дорожных покрытий;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прохождение маршрутов перевозки опасных грузов по территории Едровского сельского поселения.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Возможные варианты ЧС:</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Разгерметизация автоцистерны с ГСМ. Наиболее вероятный сценарий развития аварии: повреждение автоцистерны – разлив нефтепродуктов – пожар пролива. Наиболее опасный вариант:  повреждение автоцистерны – разлив нефтепродуктов – «огненный шар».</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 территории поселения проходят: автомобильная дорога М-10 «Россия», автодороги Ванютино-Старово (2,8 км, грунтовая), Добывалово- Зеленая Роща (2,4 км, грунтовая), Добывалово-Красилово-Марково (47,6  км, грунтовая), Едрово-Селище (10 км, грунтовая), Семенова Гора – Плав (3,4 км, грунтовая), Зимогорье- а/д Добывалово-Красилово (7,1 км, грунтовая).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Общая протяженность 176 км, в том числе – асфальтобетонные – 31 км, грунтовые – 145 км).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разгерметизация автоцистерны со сжиженными углеводородами (СУГ). Наиболее вероятный сценарий развития аварии: повреждение автоцистерны –</w:t>
      </w:r>
      <w:r w:rsidR="00B612E4">
        <w:rPr>
          <w:rFonts w:ascii="Times New Roman" w:hAnsi="Times New Roman" w:cs="Times New Roman"/>
          <w:sz w:val="20"/>
          <w:szCs w:val="20"/>
        </w:rPr>
        <w:t xml:space="preserve"> разлив СУГ – вскипание перегрет</w:t>
      </w:r>
      <w:r w:rsidRPr="00467F1A">
        <w:rPr>
          <w:rFonts w:ascii="Times New Roman" w:hAnsi="Times New Roman" w:cs="Times New Roman"/>
          <w:sz w:val="20"/>
          <w:szCs w:val="20"/>
        </w:rPr>
        <w:t>ой жидкости и образование паровой фазы – кипение жидкой фазы при соприкосновении с грунтом и разрушенным резервуаром – фильтрация паровой</w:t>
      </w:r>
      <w:r w:rsidR="00B612E4">
        <w:rPr>
          <w:rFonts w:ascii="Times New Roman" w:hAnsi="Times New Roman" w:cs="Times New Roman"/>
          <w:sz w:val="20"/>
          <w:szCs w:val="20"/>
        </w:rPr>
        <w:t xml:space="preserve"> фазы через насыпной грунт, разб</w:t>
      </w:r>
      <w:r w:rsidRPr="00467F1A">
        <w:rPr>
          <w:rFonts w:ascii="Times New Roman" w:hAnsi="Times New Roman" w:cs="Times New Roman"/>
          <w:sz w:val="20"/>
          <w:szCs w:val="20"/>
        </w:rPr>
        <w:t>рос грунта, раскрытие резервуара, интенсивное смешение паровой фазы с воздухом – рассеяние облака ГВС СУГ – воспламенение при наличии источника зажигания облака и/или жидкой фазы + горение пролива и облака ГВС – образование «огненного шара». Наиболее опасный вариант:  повреждение автоцистерны – пролив жидкой фазы на подстилающую поверхность, растекание – образование облака ГВС СУГ – образование взрывоопасной концентрации ГВС – взрыв.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 xml:space="preserve">- разгерметизация автоцистерны с АХОВ.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Основными АХОВ, перевозимыми на автотранспорте являются: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Хлор – зеленовато-желтый газ с резким удушливым запахом, тяжелее воздуха, мало растворим в воде. Не горюч, не пожароопасен, поддерживает горение многих органических веществ. Раздражает дыхательные пути, может вызвать отек легких. В крови нарушается содержание свободных аминокислот.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Признаки поражения: сильное жжение, резь в глазах, слезотечение, учащенное дыхание, мучительный кашель, общее возбуждение, страх, в тяжелых случаях рефлекторная остановка дыхания.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Первая помощь: в зараженной зоне: обильное промывание глаз водой, надевание противогаза, эвакуация на носилках.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После эвакуации: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промывание глаз водой;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обработка участков кожи водой;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мыльным раствором;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покой;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немедленная эвакуация в лечебное учреждение;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ингаляции кислорода не проводить.</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Аммиак – бесцветный газ с резким специфическим запахом, примерно в два раза легче воздуха, хорошо растворим в воде.  Горюч, взрывоопасен в смеси с воздухом. Общие токсические эффекты обусловлены действием аммиака на нервную систему. Снижается способность мозговой ткани усваивать кислород, нарушается свертываемость крови, теряется память, наблюдается потеря зрения, обостряются различные хронические заболевания (бронхит и др.).</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Признаки поражения: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обильное слезотечение;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боль в глазах;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ожог роговицы;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потеря зрения;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приступообразный кашель;</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при поражении кожи химический ожег I, II степени.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Первая помощь: в зараженной зоне - обильное промывание глаз водой, надевание противогаза, срочный вынос из зоны заражения.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После эвакуации: покой, тепло. При физических болях в глазах закапать по 2 капли 1% раствора новокаина, на пораженные участки кожи наложить примочки из 3-5%-го раствора борной, уксусной или лимонной кислот, внутрь – теплое молоко с питьевой содой. Обезболивающее средства: 1 мл 1%-го раствора морфина (гидрохлорида или промедола) подкожно 1 мг 0,1%-го атропина сульфата, при остановке дыхания – НВЛ.</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результате утечки АХОВ возможно образование зон опасных концентраций аммиака и хлора в атмосферном воздухе.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Наиболее опасный и наиболее вероятный сценарий развития аварии связанной с разгерметизацией цистерны с АХОВ может происходить по схеме: разрушение цистерны → выброс АХОВ → образование паро-аэрозольного облака → распространение токсичного облака → попадание в зону облака персонала → интоксикация людей.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 участок железной дороги, по которому могут перевозиться аварийно химически опасные  вещества (АХОВ), горюче-смазочные материалы (ГСМ), сжиженные углеводороды (СУГ). Протяженность дороги по поселению – 14 км. Как и в случае ЧС на автомобильных дорогах на железнодорожном транспорте возможны следующие варианты аварий: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разгерметизация железнодорожной цистерны с ГСМ;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разгерметизация железнодорожной цистерны со сжиженными углеводородами (СУГ);</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разгерметизация железнодорожной цистерны с АХОВ.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Учитывая, что емкость железнодорожных цистерн значительно больше нежели автоцистерн (см. таблицу 2.2.1.) последствия от таких ЧС на железнодорожном транспорте могут иметь значительно более  серьезные последствия чем на автотраспорте.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Электроэнергетические системы и системы связи.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Электроснабжение выполняется от сетей  ОАО «МРСК Северо-Запада» «Новгородэнерго» «Валдайские электрические сети» «Валдайский РЭС».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Линии питающие Едровское поселение: Л-3 ПС 35/10 «Выползово» (трансформаторная мощность 3136кВА), Л-11 ПС35/10 «Выползово»  (3136 кВА из них Едровское поселение 2500 кВА – 10 трансформаторов), Л-2 ПС 35/10 «Б.Уклейно» (1507 кВА из них Едровское поселение 1362 кВА), Л-12 ПС 110/35/10 «Валдай» (3483 кВА из них Едровское поселение 1754 кВА).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Протяженность линий электропередач на территории Едровского сельского поселения составляет 163 км, в том числе 110 кВ – 20 км, 35 кВ – 35 км, 10 кВ - 108 км.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Самый мощный трансформатор КТПП-630 кВА, марка трансформаторного масла ГК, масса масла – 435 кг.</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Основные причины аварий на электроэнергетических системах:  износ оборудования, нарушение правил эксплуатации и техники безопасности, стихийные бедствия (шквалистый ветер, сильный снегопад, обледенение проводов, грозовые разряды и удары молний и др.).</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предприятия связи – сети телефона с вводами в общественные здания и жилые дома, а также сети сотовой связи. На территории поселения имеется 3 почтовые отделения связи. Аварии на системах связи прямой опасности для населения не представляют.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 Коммунальные системы жизнеобеспечения.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Кроме того, возможно затопление территории вследствие разрушения водопроводных труб и коллекторов. ЧС на коммунальных системах жизнеобеспечения могут оказаться значимыми в основном для с.Едрово и в меньшей степени д.Зеленая Роща. В остальных населенных пунктах коммунальные системы жизнеобеспечения практически отсутствуют (кроме электроснабжения).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 Водоснабжение и водоотведение.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Источники водоснабжения – общественные шахтные колодцы и артезианские скважины (по с.Едрово и д.Зеленая Роща), по остальным населенным пунктам – общественные и приусадебные  шахтные колодцы и скважины, не подлежащие учету.</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Система водоотведения имеется только в с.Едрово (производительность 200 м3/сутки).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Теплоснабжение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Централизованные системы имеются только в с.Едрово  и д.Зеленая Роща – котельные на твердом топливе с фактической производительностью 0,3 – 0,53 Гкал/час.  Основной жилой фонд имеет печное отоплание и котлы на твердом топливе.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Газоснабжение.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Газоснабжение – сжиженный природный газ из индивидуальных баллонных установок.</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Оценка риска возникновения чрезвычайных ситуаций на территории поселения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При оценке риска возникновения ЧС  в Паспорте безопасности территории Едровского сельского поселения использовался вероятностный подход при определении комплексного риска для населения. Вероятностный подход исходит из положения, что ситуация, в которой могут оказаться люди, носит ярко выраженный случайный характер. Невозможно достоверно определить интенсивность поражающего фактора в районе расположения отдельных элементов риска. При воздействии одинаковых поражающих факторов на однотипные элементы риска, будет существовать разная вероятность поражения этих элементов риска.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расчетах комплексного индивидуального риска делалось допущение о независимости событий – поражения людей при ЧС природного и техногенного характера. При оценке комплексного индивидуального риска учитывалось, что поражение людей зависит как от перечисленных факторов, так  и ряда других случайных событий, в частности от вероятности размещения людей в зоне риска, плотности расселения в пределах населенного пункта.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Принималось, что значения индивидуального риска, в основном определяется частотой аварии и интенсивностью поражающего фактора.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Методика учитывает вероятность гибели людей от природных катастроф: наводнений, лесных пожаров, ураганов и техногенных аварий на химически опасных объектах и пожаро-взрывоопасных объектах.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качестве поражающего фактора при расчете последствий ЧС принимался фактор, вызывающий основные разрушения и поражения. Основными параметрами поражающих факторов ЧС  природного и техногенного характера были приняты: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0"/>
        <w:gridCol w:w="3193"/>
        <w:gridCol w:w="3198"/>
      </w:tblGrid>
      <w:tr w:rsidR="00467F1A" w:rsidRPr="00467F1A" w:rsidTr="00A51C94">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Виды ЧС</w:t>
            </w:r>
          </w:p>
        </w:tc>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Поражающие факторы</w:t>
            </w:r>
          </w:p>
        </w:tc>
        <w:tc>
          <w:tcPr>
            <w:tcW w:w="347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Параметры</w:t>
            </w:r>
          </w:p>
        </w:tc>
      </w:tr>
      <w:tr w:rsidR="00467F1A" w:rsidRPr="00467F1A" w:rsidTr="00A51C94">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Взрывы</w:t>
            </w:r>
          </w:p>
        </w:tc>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Воздушная ударная волна</w:t>
            </w:r>
          </w:p>
        </w:tc>
        <w:tc>
          <w:tcPr>
            <w:tcW w:w="347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Избыточное давление во фронте </w:t>
            </w:r>
            <w:r w:rsidRPr="00467F1A">
              <w:rPr>
                <w:rFonts w:ascii="Times New Roman" w:hAnsi="Times New Roman" w:cs="Times New Roman"/>
                <w:sz w:val="20"/>
                <w:szCs w:val="20"/>
              </w:rPr>
              <w:lastRenderedPageBreak/>
              <w:t>воздушной ударной волны</w:t>
            </w:r>
          </w:p>
        </w:tc>
      </w:tr>
      <w:tr w:rsidR="00467F1A" w:rsidRPr="00467F1A" w:rsidTr="00A51C94">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Пожары</w:t>
            </w:r>
          </w:p>
        </w:tc>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Тепловое излучение</w:t>
            </w:r>
          </w:p>
        </w:tc>
        <w:tc>
          <w:tcPr>
            <w:tcW w:w="347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Плотность теплового потока</w:t>
            </w:r>
          </w:p>
        </w:tc>
      </w:tr>
      <w:tr w:rsidR="00467F1A" w:rsidRPr="00467F1A" w:rsidTr="00A51C94">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Химические аварии</w:t>
            </w:r>
          </w:p>
        </w:tc>
        <w:tc>
          <w:tcPr>
            <w:tcW w:w="3473"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Химическое заражение</w:t>
            </w:r>
          </w:p>
        </w:tc>
        <w:tc>
          <w:tcPr>
            <w:tcW w:w="347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Токсидоза, концентрация</w:t>
            </w:r>
          </w:p>
        </w:tc>
      </w:tr>
    </w:tbl>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расчета  индивидуального, коллективного и потенциального риска при воздействии поражающих факторов ЧС, возникших в результате аварии, был применен метод количественного анализа.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Показатели риска техногенных чрезвычайных ситуаций (при наиболее опасном сценарии развития  ЧС/при наиболее вероятностном сценарии развития ЧС) приведены в таблице 2.2.1.</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Таблица 2.2.1.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5"/>
        <w:gridCol w:w="1138"/>
        <w:gridCol w:w="979"/>
        <w:gridCol w:w="1138"/>
        <w:gridCol w:w="711"/>
        <w:gridCol w:w="930"/>
        <w:gridCol w:w="1031"/>
        <w:gridCol w:w="903"/>
        <w:gridCol w:w="786"/>
        <w:gridCol w:w="880"/>
      </w:tblGrid>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Виды возмож</w:t>
            </w:r>
            <w:r w:rsidRPr="00B612E4">
              <w:rPr>
                <w:rFonts w:ascii="Times New Roman" w:hAnsi="Times New Roman" w:cs="Times New Roman"/>
                <w:sz w:val="16"/>
                <w:szCs w:val="16"/>
              </w:rPr>
              <w:softHyphen/>
              <w:t>ных тех</w:t>
            </w:r>
            <w:r w:rsidRPr="00B612E4">
              <w:rPr>
                <w:rFonts w:ascii="Times New Roman" w:hAnsi="Times New Roman" w:cs="Times New Roman"/>
                <w:sz w:val="16"/>
                <w:szCs w:val="16"/>
              </w:rPr>
              <w:softHyphen/>
              <w:t>ноген</w:t>
            </w:r>
            <w:r w:rsidRPr="00B612E4">
              <w:rPr>
                <w:rFonts w:ascii="Times New Roman" w:hAnsi="Times New Roman" w:cs="Times New Roman"/>
                <w:sz w:val="16"/>
                <w:szCs w:val="16"/>
              </w:rPr>
              <w:softHyphen/>
              <w:t>ных ЧС</w:t>
            </w: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Место</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распо</w:t>
            </w:r>
            <w:r w:rsidRPr="00B612E4">
              <w:rPr>
                <w:rFonts w:ascii="Times New Roman" w:hAnsi="Times New Roman" w:cs="Times New Roman"/>
                <w:sz w:val="16"/>
                <w:szCs w:val="16"/>
              </w:rPr>
              <w:softHyphen/>
              <w:t>ложения и</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наиме</w:t>
            </w:r>
            <w:r w:rsidRPr="00B612E4">
              <w:rPr>
                <w:rFonts w:ascii="Times New Roman" w:hAnsi="Times New Roman" w:cs="Times New Roman"/>
                <w:sz w:val="16"/>
                <w:szCs w:val="16"/>
              </w:rPr>
              <w:softHyphen/>
              <w:t>нование</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объекта</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вид и</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возм к-во</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опасных</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в-в</w:t>
            </w:r>
          </w:p>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Возм.</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частота</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реализации</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ЧС, год-1</w:t>
            </w: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tc>
        <w:tc>
          <w:tcPr>
            <w:tcW w:w="7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Показатель</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приемлемого</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риска,</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год-1</w:t>
            </w: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tc>
        <w:tc>
          <w:tcPr>
            <w:tcW w:w="1012"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Размеры зон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ЧС,</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br w:type="column"/>
              <w:t>км</w:t>
            </w:r>
            <w:r w:rsidRPr="00B612E4">
              <w:rPr>
                <w:rFonts w:ascii="Times New Roman" w:hAnsi="Times New Roman" w:cs="Times New Roman"/>
                <w:sz w:val="16"/>
                <w:szCs w:val="16"/>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72" o:title=""/>
                </v:shape>
                <o:OLEObject Type="Embed" ProgID="Equation.3" ShapeID="_x0000_i1025" DrawAspect="Content" ObjectID="_1587458274" r:id="rId73"/>
              </w:object>
            </w:r>
          </w:p>
          <w:p w:rsidR="00467F1A" w:rsidRPr="00B612E4" w:rsidRDefault="00467F1A" w:rsidP="00467F1A">
            <w:pPr>
              <w:spacing w:after="0"/>
              <w:jc w:val="both"/>
              <w:rPr>
                <w:rFonts w:ascii="Times New Roman" w:hAnsi="Times New Roman" w:cs="Times New Roman"/>
                <w:sz w:val="16"/>
                <w:szCs w:val="16"/>
              </w:rPr>
            </w:pPr>
          </w:p>
        </w:tc>
        <w:tc>
          <w:tcPr>
            <w:tcW w:w="1125"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Численность</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насел</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у</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которого</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нарушены</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условия</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ж\деят., чел.</w:t>
            </w:r>
          </w:p>
        </w:tc>
        <w:tc>
          <w:tcPr>
            <w:tcW w:w="981"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Возможное</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кол-во</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по</w:t>
            </w:r>
            <w:r w:rsidRPr="00B612E4">
              <w:rPr>
                <w:rFonts w:ascii="Times New Roman" w:hAnsi="Times New Roman" w:cs="Times New Roman"/>
                <w:sz w:val="16"/>
                <w:szCs w:val="16"/>
              </w:rPr>
              <w:softHyphen/>
              <w:t>гиб</w:t>
            </w:r>
            <w:r w:rsidRPr="00B612E4">
              <w:rPr>
                <w:rFonts w:ascii="Times New Roman" w:hAnsi="Times New Roman" w:cs="Times New Roman"/>
                <w:sz w:val="16"/>
                <w:szCs w:val="16"/>
              </w:rPr>
              <w:softHyphen/>
              <w:t>ших, чел.</w:t>
            </w:r>
          </w:p>
        </w:tc>
        <w:tc>
          <w:tcPr>
            <w:tcW w:w="851"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Возможное</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к-во</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пострадавших, чел.</w:t>
            </w:r>
          </w:p>
        </w:tc>
        <w:tc>
          <w:tcPr>
            <w:tcW w:w="956"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Возможный</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ущерб в</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руб.</w:t>
            </w:r>
          </w:p>
        </w:tc>
      </w:tr>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1.Аварии (ЧС) на химически опасных объектах</w:t>
            </w:r>
          </w:p>
        </w:tc>
        <w:tc>
          <w:tcPr>
            <w:tcW w:w="9247" w:type="dxa"/>
            <w:gridSpan w:val="9"/>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 пределах территории Едровского сельского поселения химически опасных объектов нет</w:t>
            </w:r>
          </w:p>
        </w:tc>
      </w:tr>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2.Аварии (ЧС) на радиационно- опасных объектах</w:t>
            </w:r>
          </w:p>
        </w:tc>
        <w:tc>
          <w:tcPr>
            <w:tcW w:w="9247" w:type="dxa"/>
            <w:gridSpan w:val="9"/>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 пределах территории Едровского сельского поселения радиационно-опасных объектов нет</w:t>
            </w:r>
          </w:p>
        </w:tc>
      </w:tr>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3.Аварии (ЧС) на биологически опасных объектах</w:t>
            </w:r>
          </w:p>
        </w:tc>
        <w:tc>
          <w:tcPr>
            <w:tcW w:w="9247" w:type="dxa"/>
            <w:gridSpan w:val="9"/>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 пределах территории Едровского сельского поселения биологически опасных объектов нет.</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На территории поселения существует вероятность возникновения ЧС связанной с поражением животных вирусом африканской чумы свиней</w:t>
            </w:r>
          </w:p>
        </w:tc>
      </w:tr>
      <w:tr w:rsidR="00467F1A" w:rsidRPr="00467F1A" w:rsidTr="00A51C94">
        <w:tc>
          <w:tcPr>
            <w:tcW w:w="1173" w:type="dxa"/>
            <w:vMerge w:val="restart"/>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4.ЧС на пожаро и взрыво</w:t>
            </w:r>
            <w:r w:rsidRPr="00B612E4">
              <w:rPr>
                <w:rFonts w:ascii="Times New Roman" w:hAnsi="Times New Roman" w:cs="Times New Roman"/>
                <w:sz w:val="16"/>
                <w:szCs w:val="16"/>
              </w:rPr>
              <w:softHyphen/>
              <w:t>опасных объектах</w:t>
            </w: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Магистральный газопровод ООО «ГазпромТрансГаз с.-Петербург, пересекает территорию СП</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1,47∙10-5 /7,09∙10-5</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84,1/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0,046</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51/5</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19/3</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34/2</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1,63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0,67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АЗС №55 Валдайской нефтебазы ООО «Новго</w:t>
            </w:r>
            <w:r w:rsidRPr="00B612E4">
              <w:rPr>
                <w:rFonts w:ascii="Times New Roman" w:hAnsi="Times New Roman" w:cs="Times New Roman"/>
                <w:sz w:val="16"/>
                <w:szCs w:val="16"/>
              </w:rPr>
              <w:softHyphen/>
              <w:t>роднеф</w:t>
            </w:r>
            <w:r w:rsidRPr="00B612E4">
              <w:rPr>
                <w:rFonts w:ascii="Times New Roman" w:hAnsi="Times New Roman" w:cs="Times New Roman"/>
                <w:sz w:val="16"/>
                <w:szCs w:val="16"/>
              </w:rPr>
              <w:softHyphen/>
              <w:t>тепродукт»,</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с. Едрово</w:t>
            </w:r>
          </w:p>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Неф</w:t>
            </w:r>
            <w:r w:rsidRPr="00B612E4">
              <w:rPr>
                <w:rFonts w:ascii="Times New Roman" w:hAnsi="Times New Roman" w:cs="Times New Roman"/>
                <w:sz w:val="16"/>
                <w:szCs w:val="16"/>
              </w:rPr>
              <w:softHyphen/>
              <w:t>те</w:t>
            </w:r>
            <w:r w:rsidRPr="00B612E4">
              <w:rPr>
                <w:rFonts w:ascii="Times New Roman" w:hAnsi="Times New Roman" w:cs="Times New Roman"/>
                <w:sz w:val="16"/>
                <w:szCs w:val="16"/>
              </w:rPr>
              <w:softHyphen/>
              <w:t>про</w:t>
            </w:r>
            <w:r w:rsidRPr="00B612E4">
              <w:rPr>
                <w:rFonts w:ascii="Times New Roman" w:hAnsi="Times New Roman" w:cs="Times New Roman"/>
                <w:sz w:val="16"/>
                <w:szCs w:val="16"/>
              </w:rPr>
              <w:softHyphen/>
              <w:t>дук</w:t>
            </w:r>
            <w:r w:rsidRPr="00B612E4">
              <w:rPr>
                <w:rFonts w:ascii="Times New Roman" w:hAnsi="Times New Roman" w:cs="Times New Roman"/>
                <w:sz w:val="16"/>
                <w:szCs w:val="16"/>
              </w:rPr>
              <w:softHyphen/>
              <w:t>ты 75 м3</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6,26∙10-11/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6,96∙10-10</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0,085/</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0,0026</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0,78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0,15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АЗС №15 Новго</w:t>
            </w:r>
            <w:r w:rsidRPr="00B612E4">
              <w:rPr>
                <w:rFonts w:ascii="Times New Roman" w:hAnsi="Times New Roman" w:cs="Times New Roman"/>
                <w:sz w:val="16"/>
                <w:szCs w:val="16"/>
              </w:rPr>
              <w:softHyphen/>
              <w:t>родского филиала,</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ООО «ЛУКОЙЛ-Северо-Западнефтепродукт»</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с. Едрово</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Неф</w:t>
            </w:r>
            <w:r w:rsidRPr="00B612E4">
              <w:rPr>
                <w:rFonts w:ascii="Times New Roman" w:hAnsi="Times New Roman" w:cs="Times New Roman"/>
                <w:sz w:val="16"/>
                <w:szCs w:val="16"/>
              </w:rPr>
              <w:softHyphen/>
              <w:t>те</w:t>
            </w:r>
            <w:r w:rsidRPr="00B612E4">
              <w:rPr>
                <w:rFonts w:ascii="Times New Roman" w:hAnsi="Times New Roman" w:cs="Times New Roman"/>
                <w:sz w:val="16"/>
                <w:szCs w:val="16"/>
              </w:rPr>
              <w:softHyphen/>
              <w:t>про</w:t>
            </w:r>
            <w:r w:rsidRPr="00B612E4">
              <w:rPr>
                <w:rFonts w:ascii="Times New Roman" w:hAnsi="Times New Roman" w:cs="Times New Roman"/>
                <w:sz w:val="16"/>
                <w:szCs w:val="16"/>
              </w:rPr>
              <w:softHyphen/>
              <w:t>дук</w:t>
            </w:r>
            <w:r w:rsidRPr="00B612E4">
              <w:rPr>
                <w:rFonts w:ascii="Times New Roman" w:hAnsi="Times New Roman" w:cs="Times New Roman"/>
                <w:sz w:val="16"/>
                <w:szCs w:val="16"/>
              </w:rPr>
              <w:softHyphen/>
              <w:t>ты 310,5 м</w:t>
            </w:r>
            <w:r w:rsidRPr="00B612E4">
              <w:rPr>
                <w:rFonts w:ascii="Times New Roman" w:hAnsi="Times New Roman" w:cs="Times New Roman"/>
                <w:sz w:val="16"/>
                <w:szCs w:val="16"/>
              </w:rPr>
              <w:object w:dxaOrig="139" w:dyaOrig="300">
                <v:shape id="_x0000_i1026" type="#_x0000_t75" style="width:6.75pt;height:15pt" o:ole="">
                  <v:imagedata r:id="rId74" o:title=""/>
                </v:shape>
                <o:OLEObject Type="Embed" ProgID="Equation.3" ShapeID="_x0000_i1026" DrawAspect="Content" ObjectID="_1587458275" r:id="rId75"/>
              </w:objec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3,78∙10-11/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4,20∙10-10</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0,23/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0,0067</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7/0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1,35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0,95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АЗС №31 ЗАО «Газпромнефть-Северо-</w:t>
            </w:r>
            <w:r w:rsidRPr="00B612E4">
              <w:rPr>
                <w:rFonts w:ascii="Times New Roman" w:hAnsi="Times New Roman" w:cs="Times New Roman"/>
                <w:sz w:val="16"/>
                <w:szCs w:val="16"/>
              </w:rPr>
              <w:lastRenderedPageBreak/>
              <w:t>Запад»</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с.Едрово, а/м дорога М-10 368 км+700 м (справа)</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lastRenderedPageBreak/>
              <w:t>Неф</w:t>
            </w:r>
            <w:r w:rsidRPr="00B612E4">
              <w:rPr>
                <w:rFonts w:ascii="Times New Roman" w:hAnsi="Times New Roman" w:cs="Times New Roman"/>
                <w:sz w:val="16"/>
                <w:szCs w:val="16"/>
              </w:rPr>
              <w:softHyphen/>
              <w:t>те</w:t>
            </w:r>
            <w:r w:rsidRPr="00B612E4">
              <w:rPr>
                <w:rFonts w:ascii="Times New Roman" w:hAnsi="Times New Roman" w:cs="Times New Roman"/>
                <w:sz w:val="16"/>
                <w:szCs w:val="16"/>
              </w:rPr>
              <w:softHyphen/>
              <w:t>про</w:t>
            </w:r>
            <w:r w:rsidRPr="00B612E4">
              <w:rPr>
                <w:rFonts w:ascii="Times New Roman" w:hAnsi="Times New Roman" w:cs="Times New Roman"/>
                <w:sz w:val="16"/>
                <w:szCs w:val="16"/>
              </w:rPr>
              <w:softHyphen/>
              <w:t>дук</w:t>
            </w:r>
            <w:r w:rsidRPr="00B612E4">
              <w:rPr>
                <w:rFonts w:ascii="Times New Roman" w:hAnsi="Times New Roman" w:cs="Times New Roman"/>
                <w:sz w:val="16"/>
                <w:szCs w:val="16"/>
              </w:rPr>
              <w:softHyphen/>
              <w:t>ты 112,5 м</w:t>
            </w:r>
            <w:r w:rsidRPr="00B612E4">
              <w:rPr>
                <w:rFonts w:ascii="Times New Roman" w:hAnsi="Times New Roman" w:cs="Times New Roman"/>
                <w:sz w:val="16"/>
                <w:szCs w:val="16"/>
              </w:rPr>
              <w:object w:dxaOrig="139" w:dyaOrig="300">
                <v:shape id="_x0000_i1027" type="#_x0000_t75" style="width:6.75pt;height:15pt" o:ole="">
                  <v:imagedata r:id="rId74" o:title=""/>
                </v:shape>
                <o:OLEObject Type="Embed" ProgID="Equation.3" ShapeID="_x0000_i1027" DrawAspect="Content" ObjectID="_1587458276" r:id="rId76"/>
              </w:objec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1,62∙10-11/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1,80∙10-10</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0,23/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0,0067</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1,35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0,95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АЗС №32 ЗАО «Газпромнефть-Северо-Запад»</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с.Едрово, а/м дорога М-10 368 км+900 м (слева)</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Неф</w:t>
            </w:r>
            <w:r w:rsidRPr="00B612E4">
              <w:rPr>
                <w:rFonts w:ascii="Times New Roman" w:hAnsi="Times New Roman" w:cs="Times New Roman"/>
                <w:sz w:val="16"/>
                <w:szCs w:val="16"/>
              </w:rPr>
              <w:softHyphen/>
              <w:t>те</w:t>
            </w:r>
            <w:r w:rsidRPr="00B612E4">
              <w:rPr>
                <w:rFonts w:ascii="Times New Roman" w:hAnsi="Times New Roman" w:cs="Times New Roman"/>
                <w:sz w:val="16"/>
                <w:szCs w:val="16"/>
              </w:rPr>
              <w:softHyphen/>
              <w:t>про</w:t>
            </w:r>
            <w:r w:rsidRPr="00B612E4">
              <w:rPr>
                <w:rFonts w:ascii="Times New Roman" w:hAnsi="Times New Roman" w:cs="Times New Roman"/>
                <w:sz w:val="16"/>
                <w:szCs w:val="16"/>
              </w:rPr>
              <w:softHyphen/>
              <w:t>дук</w:t>
            </w:r>
            <w:r w:rsidRPr="00B612E4">
              <w:rPr>
                <w:rFonts w:ascii="Times New Roman" w:hAnsi="Times New Roman" w:cs="Times New Roman"/>
                <w:sz w:val="16"/>
                <w:szCs w:val="16"/>
              </w:rPr>
              <w:softHyphen/>
              <w:t>ты 112,5 м</w:t>
            </w:r>
            <w:r w:rsidRPr="00B612E4">
              <w:rPr>
                <w:rFonts w:ascii="Times New Roman" w:hAnsi="Times New Roman" w:cs="Times New Roman"/>
                <w:sz w:val="16"/>
                <w:szCs w:val="16"/>
              </w:rPr>
              <w:object w:dxaOrig="139" w:dyaOrig="300">
                <v:shape id="_x0000_i1028" type="#_x0000_t75" style="width:6.75pt;height:15pt" o:ole="">
                  <v:imagedata r:id="rId74" o:title=""/>
                </v:shape>
                <o:OLEObject Type="Embed" ProgID="Equation.3" ShapeID="_x0000_i1028" DrawAspect="Content" ObjectID="_1587458277" r:id="rId77"/>
              </w:objec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1,62∙10-11/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1,80∙10-10</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0,23/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0,0067</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1,35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0,95 млн</w:t>
            </w:r>
          </w:p>
        </w:tc>
      </w:tr>
      <w:tr w:rsidR="00467F1A" w:rsidRPr="00467F1A" w:rsidTr="00A51C94">
        <w:tc>
          <w:tcPr>
            <w:tcW w:w="1173" w:type="dxa"/>
            <w:vMerge w:val="restart"/>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 ЧС на транспорте</w:t>
            </w:r>
          </w:p>
        </w:tc>
        <w:tc>
          <w:tcPr>
            <w:tcW w:w="1244" w:type="dxa"/>
            <w:vMerge w:val="restart"/>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Участок автодороги пересекает территорию СП</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Бензин 16 м3</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8,04∙10-13/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8,93∙10-12</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0,15/</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0,004</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35/0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29/0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11,33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0,28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 xml:space="preserve">СУГ </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16 м3</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4,43∙10-7/</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2,62∙10-5</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0,11</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50/30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33/15</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17/15</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4,34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3,17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АХОВ:</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 xml:space="preserve">Хлор </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 м3</w:t>
            </w:r>
          </w:p>
        </w:tc>
        <w:tc>
          <w:tcPr>
            <w:tcW w:w="1244" w:type="dxa"/>
            <w:vMerge w:val="restart"/>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1,49∙10-6</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2,46</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1389</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694</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694</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49,36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 xml:space="preserve">Аммиак </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8 м3</w:t>
            </w:r>
          </w:p>
        </w:tc>
        <w:tc>
          <w:tcPr>
            <w:tcW w:w="1244" w:type="dxa"/>
            <w:vMerge/>
            <w:vAlign w:val="center"/>
          </w:tcPr>
          <w:p w:rsidR="00467F1A" w:rsidRPr="00B612E4" w:rsidRDefault="00467F1A" w:rsidP="00467F1A">
            <w:pPr>
              <w:spacing w:after="0"/>
              <w:jc w:val="both"/>
              <w:rPr>
                <w:rFonts w:ascii="Times New Roman" w:hAnsi="Times New Roman" w:cs="Times New Roman"/>
                <w:sz w:val="16"/>
                <w:szCs w:val="16"/>
              </w:rPr>
            </w:pP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0,4</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1389</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694</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694</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49,36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val="restart"/>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Участок ж/дороги пересекает территорию СП</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Бензин 73 м3</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1,15∙10-13/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1,28∙10-12</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0,55/</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0,011</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14/0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2,99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2,05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 xml:space="preserve">СУГ </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54 м3</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1,15∙10-13/</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1,28∙10-12</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0,82/0,32</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11/5</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12/7</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2,15 млн/</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1,73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АХОВ:</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 xml:space="preserve">Хлор </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46 м3</w:t>
            </w:r>
          </w:p>
        </w:tc>
        <w:tc>
          <w:tcPr>
            <w:tcW w:w="1244" w:type="dxa"/>
            <w:vMerge w:val="restart"/>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2,13∙10-7</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101,08</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1900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950</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950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74,26 млн</w:t>
            </w: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vMerge/>
          </w:tcPr>
          <w:p w:rsidR="00467F1A" w:rsidRPr="00B612E4" w:rsidRDefault="00467F1A" w:rsidP="00467F1A">
            <w:pPr>
              <w:spacing w:after="0"/>
              <w:jc w:val="both"/>
              <w:rPr>
                <w:rFonts w:ascii="Times New Roman" w:hAnsi="Times New Roman" w:cs="Times New Roman"/>
                <w:sz w:val="16"/>
                <w:szCs w:val="16"/>
              </w:rPr>
            </w:pP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Аммиак 54 м3</w:t>
            </w:r>
          </w:p>
        </w:tc>
        <w:tc>
          <w:tcPr>
            <w:tcW w:w="1244" w:type="dxa"/>
            <w:vMerge/>
            <w:vAlign w:val="center"/>
          </w:tcPr>
          <w:p w:rsidR="00467F1A" w:rsidRPr="00B612E4" w:rsidRDefault="00467F1A" w:rsidP="00467F1A">
            <w:pPr>
              <w:spacing w:after="0"/>
              <w:jc w:val="both"/>
              <w:rPr>
                <w:rFonts w:ascii="Times New Roman" w:hAnsi="Times New Roman" w:cs="Times New Roman"/>
                <w:sz w:val="16"/>
                <w:szCs w:val="16"/>
              </w:rPr>
            </w:pP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1,09</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1389</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694</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694</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50,11 млн</w:t>
            </w:r>
          </w:p>
        </w:tc>
      </w:tr>
      <w:tr w:rsidR="00467F1A" w:rsidRPr="00467F1A" w:rsidTr="00A51C94">
        <w:tc>
          <w:tcPr>
            <w:tcW w:w="1173" w:type="dxa"/>
            <w:vMerge w:val="restart"/>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6.Аварии (ЧС) на электроэнергетических системах и системах связи</w:t>
            </w: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ЛЭП</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ВЛ 10 кВ -0,28 год-1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ВЛ-0,4 кВ - 0,96 год-1</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ВЛ-35-0,005 год-1</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200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5-10</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p>
        </w:tc>
      </w:tr>
      <w:tr w:rsidR="00467F1A" w:rsidRPr="00467F1A" w:rsidTr="00A51C94">
        <w:tc>
          <w:tcPr>
            <w:tcW w:w="1173" w:type="dxa"/>
            <w:vMerge/>
          </w:tcPr>
          <w:p w:rsidR="00467F1A" w:rsidRPr="00B612E4" w:rsidRDefault="00467F1A" w:rsidP="00467F1A">
            <w:pPr>
              <w:spacing w:after="0"/>
              <w:jc w:val="both"/>
              <w:rPr>
                <w:rFonts w:ascii="Times New Roman" w:hAnsi="Times New Roman" w:cs="Times New Roman"/>
                <w:sz w:val="16"/>
                <w:szCs w:val="16"/>
              </w:rPr>
            </w:pP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Трансформаторные подстанции</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Трансформаторное масло 0,435 т</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7,5∙10-5</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0,00001</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200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45</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p>
        </w:tc>
      </w:tr>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7. Аварии (ЧС) на коммунальных системах жизнеобеспеченности</w:t>
            </w:r>
          </w:p>
        </w:tc>
        <w:tc>
          <w:tcPr>
            <w:tcW w:w="1244"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Водоснабжение, водоотведение, теплоснабжение</w:t>
            </w:r>
          </w:p>
        </w:tc>
        <w:tc>
          <w:tcPr>
            <w:tcW w:w="1067"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w:t>
            </w:r>
          </w:p>
        </w:tc>
        <w:tc>
          <w:tcPr>
            <w:tcW w:w="1244"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Аварии на тепловых сетях в холодное время года (24%, на коммунальных системах жизнеобеспеченния (9%) от местных ЧС в год</w:t>
            </w:r>
          </w:p>
        </w:tc>
        <w:tc>
          <w:tcPr>
            <w:tcW w:w="767"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10-5 -10-6</w:t>
            </w:r>
          </w:p>
        </w:tc>
        <w:tc>
          <w:tcPr>
            <w:tcW w:w="1012"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w:t>
            </w:r>
          </w:p>
        </w:tc>
        <w:tc>
          <w:tcPr>
            <w:tcW w:w="1125"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150</w:t>
            </w:r>
          </w:p>
        </w:tc>
        <w:tc>
          <w:tcPr>
            <w:tcW w:w="98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w:t>
            </w:r>
          </w:p>
        </w:tc>
        <w:tc>
          <w:tcPr>
            <w:tcW w:w="851" w:type="dxa"/>
            <w:vAlign w:val="center"/>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0-1</w:t>
            </w:r>
          </w:p>
        </w:tc>
        <w:tc>
          <w:tcPr>
            <w:tcW w:w="956" w:type="dxa"/>
            <w:vAlign w:val="center"/>
          </w:tcPr>
          <w:p w:rsidR="00467F1A" w:rsidRPr="00B612E4" w:rsidRDefault="00467F1A" w:rsidP="00467F1A">
            <w:pPr>
              <w:spacing w:after="0"/>
              <w:jc w:val="both"/>
              <w:rPr>
                <w:rFonts w:ascii="Times New Roman" w:hAnsi="Times New Roman" w:cs="Times New Roman"/>
                <w:sz w:val="16"/>
                <w:szCs w:val="16"/>
              </w:rPr>
            </w:pPr>
          </w:p>
        </w:tc>
      </w:tr>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8. Аварии (ЧС) на гидротехнических сооружениях</w:t>
            </w:r>
          </w:p>
        </w:tc>
        <w:tc>
          <w:tcPr>
            <w:tcW w:w="9247" w:type="dxa"/>
            <w:gridSpan w:val="9"/>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В пределах территории Едровского сельского поселения гидротехнических сооружений  нет</w:t>
            </w:r>
          </w:p>
        </w:tc>
      </w:tr>
      <w:tr w:rsidR="00467F1A" w:rsidRPr="00467F1A" w:rsidTr="00A51C94">
        <w:tc>
          <w:tcPr>
            <w:tcW w:w="1173" w:type="dxa"/>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9.Биолого-социальные ЧС</w:t>
            </w:r>
          </w:p>
        </w:tc>
        <w:tc>
          <w:tcPr>
            <w:tcW w:w="9247" w:type="dxa"/>
            <w:gridSpan w:val="9"/>
          </w:tcPr>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t>На территории Едровского сельского поселения имеется вероятность ЧС связанной с возможностью распространения заболевания «африканская чума свиней» с возможным заболевание до 200 животных и ущербом 4000-5000 тысяч рублей (карантинно-ограничительные меры, в том числе и на территории Валдайского муниципального района вводились в 2012 году).</w:t>
            </w:r>
          </w:p>
          <w:p w:rsidR="00467F1A" w:rsidRPr="00B612E4" w:rsidRDefault="00467F1A" w:rsidP="00467F1A">
            <w:pPr>
              <w:spacing w:after="0"/>
              <w:jc w:val="both"/>
              <w:rPr>
                <w:rFonts w:ascii="Times New Roman" w:hAnsi="Times New Roman" w:cs="Times New Roman"/>
                <w:sz w:val="16"/>
                <w:szCs w:val="16"/>
              </w:rPr>
            </w:pPr>
            <w:r w:rsidRPr="00B612E4">
              <w:rPr>
                <w:rFonts w:ascii="Times New Roman" w:hAnsi="Times New Roman" w:cs="Times New Roman"/>
                <w:sz w:val="16"/>
                <w:szCs w:val="16"/>
              </w:rPr>
              <w:lastRenderedPageBreak/>
              <w:t>На территории Новгородской области в целом за последние годы эпидемиологическая  является стабильной, а эпифитотическая и эпизоотическая – благополучная. Вместе с тем существует угроза распространения вируса h5n1 (птичий грипп) и вируса свиного гриппа.</w:t>
            </w:r>
          </w:p>
        </w:tc>
      </w:tr>
    </w:tbl>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2.3. Перечень возможных источников чрезвычайных ситуаций, связанных с возникновением пожаров техногенного  и природного характера.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Риски возникновения техногенных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Возникновение техногенных пожаров может быть связано: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авариями на существующих и проектируемых потенциально-опасных объектах;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авариями на автомобильном транспорте при перевозке опасных грузов;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авариями в жилой зоне.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Перечень  потенциально-опасных объектов, расположенных на территории Едровского сельского поселения представлен выше в разделе 2.2.</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Промышленные предприятия (фермерские хозяйства и предприятия по добыче полезных ископаемых) не входят в список потенциально-опасных объектов, т.к. часть из них перепрофилирована или работает не в полном объеме, поэтому на их территории не производится складирование горючих и легковоспламеняющихся материалов.</w:t>
      </w:r>
      <w:r w:rsidR="00B612E4">
        <w:rPr>
          <w:rFonts w:ascii="Times New Roman" w:hAnsi="Times New Roman" w:cs="Times New Roman"/>
          <w:sz w:val="20"/>
          <w:szCs w:val="20"/>
        </w:rPr>
        <w:t xml:space="preserve"> </w:t>
      </w:r>
      <w:r w:rsidRPr="00467F1A">
        <w:rPr>
          <w:rFonts w:ascii="Times New Roman" w:hAnsi="Times New Roman" w:cs="Times New Roman"/>
          <w:sz w:val="20"/>
          <w:szCs w:val="20"/>
        </w:rPr>
        <w:t>За последние годы на потенциально-опасных  и производственных объектах пожаров не было.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 данным отчетов Администрации Едровского сельского поселения в последние 3 года на территории населенных пунктов поселения ежегодно происходит  2-4 пожара, связанных с нарушением  правил пожарной безопасности  при эксплуатации печей и электрообогревающих устройств: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2011 году - сгорел вновь построенный дом в деревне  Плав и выгорела кухня в доме № 30 по ул. Ленинградской в село Едрово;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в 2012 году - сгорел дом в д</w:t>
      </w:r>
      <w:r w:rsidR="00B612E4">
        <w:rPr>
          <w:rFonts w:ascii="Times New Roman" w:hAnsi="Times New Roman" w:cs="Times New Roman"/>
          <w:sz w:val="20"/>
          <w:szCs w:val="20"/>
        </w:rPr>
        <w:t>еревне Красилово и в деревне Афа</w:t>
      </w:r>
      <w:r w:rsidRPr="00467F1A">
        <w:rPr>
          <w:rFonts w:ascii="Times New Roman" w:hAnsi="Times New Roman" w:cs="Times New Roman"/>
          <w:sz w:val="20"/>
          <w:szCs w:val="20"/>
        </w:rPr>
        <w:t>насово 2 дома;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в 2013 году - сгорел дом в деревне Наволок и в селе Едрово 3 дома.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Едровском сельском поселении сохраняется высокая вероятность возникновения техногенных пожаров в жилой зоне.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Территорию жилой функциональной зоны занимает малоэтажная жилая застройка. Жилой фонд на территории населенных пунктов представлен одноэтажными, реже двухэтажными деревянными домами на 1–2 семьи с приусадебными участками и хозяйственными постройками.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Все дома обеспечены энергоснабжением, отопление в домах печное, газоснабжение осуществляется путем приобретения сжиженного газа в баллонах.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Деревянный малоэтажный фонд подлежит постепенному сносу по мере амортизации (срок амортизации таких домов – не более 25 лет).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Довоенный жилой фонд поселения имеет высокий процент физического износа, часть домов – деревянные или сборно – щитовые, обложенные кирпичом; во многих старых домах электропроводка не рассчитана на использование современных бытовых приборов. Кроме того, неосторожное обращение с огнем, несоблюдение правил эксплуатации электро – и бытовых приборов, грозовые разряды – все это может привести к пожарам в жилых домах и на объектах культурно-бытового назначения. Предотвращение пожаров в жилой зоне основано на правилах поведения людей, порядка содержания жилых и общественных помещений и территорий.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Генеральным планом предусмотрено: жилые дома, имеющие централизованный водопровод, для внутреннего пожаротушения рекомендуется оснащать индивидуальными устройствами внутриквартирного пожаротушения.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Обеспечение наружного пожаротушения жилой застройки планируется от парных противопожарных резервуаров закрытого типа, общей ёмкостью 54 м3. Резервуары оснащены водоприемными колодцами для возможности применения мотопомп, а также разворотными площадками 12х12 м  для пожарной техники. Объем резервуаров принят ориентировочно из условия расхода воды на наружное пожаротушение 5 л/с и может быть уточнен при рабочем проектировании в соответствии с действительным строительным объемом возводимых зданий и сооружений.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Местоположение пожарных резервуаров принято из условия обслуживания ими зданий и сооружений в радиусе 100÷150 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Следует признать, что в настоящее время вопросы борьбы с пожарами на территории Едровского сельского поселения требуют особого внимания. На территории поселения нет пожарной части. Ближайшее к объектам Едровского сельского поселения пожарное депо расположено в г.Валдай и ЗАТО Озерный </w:t>
      </w:r>
      <w:r w:rsidRPr="00467F1A">
        <w:rPr>
          <w:rFonts w:ascii="Times New Roman" w:hAnsi="Times New Roman" w:cs="Times New Roman"/>
          <w:sz w:val="20"/>
          <w:szCs w:val="20"/>
        </w:rPr>
        <w:lastRenderedPageBreak/>
        <w:t>Тверской области. В 2011 году поселению была  выделена  пожарная машина АРС-14, был утвержден реестр  добровольной пожарной дружины, однако,  вопрос об обучении членов дружины и укомплектовании обмундированием оперативно не решается.       На балансе Едровского сельского поселения имеется авторазливочная станция (АРС), которая после модернизации будет использоваться для пожаротушения. Три мотопомпы находятся в рабочем состоянии, которые могут использоваться для пожаротушения. В каждом населенном пункте, где нет естественных водоемов есть пожарные водоемы, которые периодически чистятся.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 Едровском сельском поселении не выдержаны нормативные требования по радиусу  обслуживания пожарных депо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должна составлять  20 минут.  Ниже представлены сведения о расположении населенных пунктов по территории Едровского сельского поселения относительно центра муниципального образования села Едрово. Само село Едрово находится в 25  км  от  ближайшей пожарной части  Новгородской области (ПЧ-13  ГУ «5-й отряд ФПС по Новгородской области», расположенная в городе Валдай, ул. Победы, 126):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6"/>
        <w:gridCol w:w="3908"/>
      </w:tblGrid>
      <w:tr w:rsidR="00467F1A" w:rsidRPr="00467F1A" w:rsidTr="00A51C94">
        <w:tc>
          <w:tcPr>
            <w:tcW w:w="5954"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Наименование населенного пункта, входящего в состав МО</w:t>
            </w:r>
          </w:p>
        </w:tc>
        <w:tc>
          <w:tcPr>
            <w:tcW w:w="4251"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Расстояние до центра МО*</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Едрово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25 ( до г.Валдай)</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Афанасово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47</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Бель</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46</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Большое Носакино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10</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Ванютино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41</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Гвоздки</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Добывало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10</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Зелёная Роща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13</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Костелёво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31</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Красилово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55</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Макушино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28</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Марково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62</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Наволок</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Новинка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52</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Новая Ситенка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8</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Плав</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62</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Речка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49</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Рядчино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25</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Селище</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43</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Семёнова Гора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59</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Среднее Носакино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9</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Старая Ситенка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9</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Старина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28</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Старово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44</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Труфаново</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31</w:t>
            </w:r>
          </w:p>
        </w:tc>
      </w:tr>
      <w:tr w:rsidR="00467F1A" w:rsidRPr="00467F1A" w:rsidTr="00A51C94">
        <w:tc>
          <w:tcPr>
            <w:tcW w:w="5954"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 Харитониха</w:t>
            </w:r>
          </w:p>
        </w:tc>
        <w:tc>
          <w:tcPr>
            <w:tcW w:w="4251"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24</w:t>
            </w:r>
          </w:p>
        </w:tc>
      </w:tr>
    </w:tbl>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расстояние до села Едрово.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Учитывая состояние автомобильных дорог на территории поселения своевременное прибытие пожарных подразделений в установленные  требованиями «Технического регламента о требованиях пожарной безопасности», утверждённого Федеральным законом от 22 июля 2008 г. № 123-ФЗ,  для большинства населенных пунктов поселения является невыполнимым. С учетом этого предусматривается развитие в Валдайском муниципальном районе системы пожаротушения. Так,  Схемой территориального планирования Новгородской области (утверждена </w:t>
      </w:r>
      <w:hyperlink w:anchor="sub_0" w:history="1">
        <w:r w:rsidRPr="00467F1A">
          <w:rPr>
            <w:rFonts w:ascii="Times New Roman" w:hAnsi="Times New Roman" w:cs="Times New Roman"/>
            <w:sz w:val="20"/>
            <w:szCs w:val="20"/>
          </w:rPr>
          <w:t>Постановление</w:t>
        </w:r>
      </w:hyperlink>
      <w:r w:rsidRPr="00467F1A">
        <w:rPr>
          <w:rFonts w:ascii="Times New Roman" w:hAnsi="Times New Roman" w:cs="Times New Roman"/>
          <w:sz w:val="20"/>
          <w:szCs w:val="20"/>
        </w:rPr>
        <w:t>м  Администрации Новгородской области от 26 июня 2012 г. №370) предусмотрено: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 1 очередь: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проведение капитального ремонта пожарных депо: ПЧ-13 г. Валдай;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строительство пожарных депо на 2 автомобиля в населенных пунктах: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Валдайский район: д. Семёновщина, д. Большое Городно.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 расчетный срок:</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строительство пожарных депо на 2 автомобиля в населенных пунктах: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Валдайский район: с. Яжелбицы, с. Едрово.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настоящее время на территории Валдайского муниципального района ведется работа по формированию добровольных пожарных  дружин (в том числе, в с.Едрово) и оснащению их специальной техникой.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Администрацией Едровского   сельского поселения  в 2013 году  приняты необходимые  нормативные правовые акты по противопожарной безопасности в пожароопасные периоды. А на территории поселения действует «ПОЛОЖЕНИЕ О ПРЕДУПРЕЖДЕНИИ И ЛИКВИДАЦИИ ЧРЕЗВЫЧАЙНЫХ СИТУАЦИЙ И ПРОТИВОПОЖАРНОЙ БЕЗОПАСНОСТИ НА ТЕРРИТОРИИ ЕДРОВСКОГО СЕЛЬСКОГО ПОСЕЛЕНИЯ»  (Утверждено Решением Совета депутатов Едровского сельского поселения от 05.11.2008 № 118).</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Работники Администрации, проводят плановые  и внеплановые инструктажи  жителей  деревень сельского поселения о правилах пожарной безопасности, в том числе с лицами, ведущими антиобщественный образ жизни, с одинокими престарелыми. Проводят подворовой обход граждан, с целью проведения инструктажа о мерах пожарной безопасности в жилье при обращении с огнем, при использовании бытовых электронагревательных и отопительных приборов.  В общедоступных местах вывешена наглядная агитация с информацией о пожарах и о правилах пожарной безопасности.  В 2013 году проинструктировано под роспись 268 семей. Распространены листовки  с обращениями  к жителям соблюдать  правила пожарной безопасности, напечатаны в информационном бюллетене «Едровский вестник».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пожароопасный период проводилась опашка  населенных пунктов, объектов, скашивание травы.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Природные пожары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Риски возникновения природных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Лесные пожары наносят народному хозяйству большой ущерб. В результате пожаров снижаются защитные, водоохранные, санитарно-гигиенические, оздоровительные и другие полезные свойства лесов; повреждается или полностью уничтожается растущий лес вместе с подростком, подлеском, живым надпочвенным покровом, фауна; нарушается плановое ведение лесного хозяйства; ослабленные пожарами насаждения становятся очагами распространения  вредных насекомых и болезней, что приводит к гибели и соседних с ними насаждений.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Лесистость территории Едровского сельского поселения  - 80,06%.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Общая площадь земель лесного фонда на территории Едровского сельского поселения составляет 53650,83 га, из них  42952,55 га относятся к землям лесного фонда. На территории поселения располагаются части особоохраняемых природных территорий, для которых защита леса от пожаров имеет особое значение: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ФГУ «Национальный парк «Валдайский» (общая площадь - 158 500 га, на территории Едровского СП – 6 347 га) относится к особо охраняемым природным территориям федерального значения;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государственный природный биологический заказник регионального значения «Валдайский» (3400 га) относится к особо охраняемым природным территориям регионального значения;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государственный памятник природы «Озера Городно-Горстино, Стреглино» (114 га) относится к особо охраняемым природным территориям регионального значения.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 данным ГУ МЧС России по Новгородской области в Новгородской области высока вероятность возникновения лесных и торфяных пожаров. Валдайский муниципальный район и Едровское сельское поселение не относится к наиболее пожароопасным районам области и вероятность  лесных пожаров в этом муниципальном образовании оценивается как &lt; 1 ЧС/год.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Распоряжением Правительства Новгородской области от 11.04.2014 г. №94-рз «О подготовке к пожароопасному сезону 2014 года» в перечень населенных пунктов области, подверженных угрозе лесных пожаров по Едровскому сельскому поселению  Валдайского района включено два населенных пункта: д.Зеленая Роща и д.Афанасово.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Необходимо отметить, что на территории Едровского сельского поселения в период с 2006 года по 2014 год лесных пожаров не было.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Пожар представляет собой достаточно сложное явление, обусловленное протеканием и развитием во времени и пространстве процессов горения, массо- и теплообмена. При этом определяющим процессом является горение.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пожарах может быть выделено три зоны: горения, теплового воздействия и задымления.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В зоне горения протекают процессы термического разложения, испарения в объеме диффузионного факела пламени. Границей зоны горения является тонкий светящийся поверхностный слой пламени. Интенсивность горения определяется скоростью поступления кислорода из окружающего пространства в зону горения.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Зона теплового взаимодействия примыкает к границе зоны горения. В этой части пространства протекают процессы теплопередачи, обусловливающие формирование одного из самых важных поражающих факторов при пожаре — облучение людей и объектов окружающей среды тепловым излучением.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Зона задымления примыкает к зоне горения. Название зоны в известном смысле условно, так как под ней обычно понимается не все то пространство, охваченное дымом, а только его часть, где невозможно пребывание людей без средств защиты органов дыхания. Границами зоны задымления считаются изолинии с концентрацией аэродисперсной фазы дыма 10 кг/м3, видимостью предметов 6—12 метров и концентрацией кислорода не менее 16%. Нахождение людей без средств защиты органов дыхания на границе зоны безопасно.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 числу поражающих факторов, возникающих при пожарах, их параметры и степень воздействия на человеческий организм, относят: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облучение людей и объектов окружающей среды тепловым излучением;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воздействие на людей и объекты окружающей среды высокотемпературным полем;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Облучение тепловым излучением может оцениваться по интенсивности облучения (плотности теплового потока), обычно выражаемой в кВт/м:, а также по количеству тепловой энергии, поступающей на единицу поверхности объекта за определенное время.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незащищенных поверхностей кожи человека составляет 40°С.</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Лесной пожар (природный пожар) - это стихийное (то есть неуправляемое) горение, распространившееся на лесную площадь, окруженную не горящей территорией. В лесную площадь, но которой распространяется пожар, входят открытые лесные пространства (вырубки, гари и др.).</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зависимости от сгорающих материалов различают два основных вида лесных пожаров: низовые и верховые.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 скорости распространения пожары разделяются на три категории: сильные (свыше 100м/мин.); средней силы (3-100 м/мин.) и слабые (до 3м/мин.).</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Причиной возникновения лесных пожаров, как правило, является не соблюдение установленных требований безопасного обращения с огнём граждан при отдыхе, а также неконтролируемые палы сухой травы. Таким образом, 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Возникновение лесных пожаров возможно в течение всего пожароопасного сезона, средняя продолжительность которого составляет 6 месяцев.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Риск возникновения природных пожаров: исходя из среднестатистических устойчивых высоких температур, в период с мая по август прогнозируется 3-5 класс пожарной опасности.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Основными поражающими факторами являются открытое пламя и сильное задымление территорий.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Показатель приемлемого риска ЧС природного характера составляет 1х10-2 - 1х10‾5.</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целью снижения негативных последствий данной ЧС необходимо вдоль участков автомобильных дорог проводить регулярную обрезку деревьев и рубку сухостоя. Не устанавливать рекламные щиты в опасной близости от дорожного полотна. Осуществлять ежегодные противопожарные мероприятия в лесах, а также проводить пропаганду требований противопожарной безопасности среди населения поселения и обучение населения основным приемам тушения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 Новгородской области разработана и принята государственная программа Новгородской области (утверждена Постановлением Правительства Новгородской области от 17.10.2013 г. №277) «Развитие лесного хозяйства Новгородской области на 2014-2020 годы». Одной из приоритетных  подпрограмм </w:t>
      </w:r>
      <w:r w:rsidRPr="00467F1A">
        <w:rPr>
          <w:rFonts w:ascii="Times New Roman" w:hAnsi="Times New Roman" w:cs="Times New Roman"/>
          <w:sz w:val="20"/>
          <w:szCs w:val="20"/>
        </w:rPr>
        <w:lastRenderedPageBreak/>
        <w:t>является подпрограмма «Охрана и защита лесов», внедрение которой позволит решить целую серию вопросов по борьбе с лесными пожарами для чего предусматривается: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обеспечение функционирования специализированной диспетчерской службы;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внедрение и увеличение количества средств обнаружения (видеокамеры) и тушения лесных пожаров (высоконапорные помпы, эффективные реагенты для тушения торфяных пожаров), а также внедрение современных технологий тушения лесных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организация системы межрайонного и межведомственного взаимодействия при тушении лесных пожаров, маневрировании лесопожарными формированиями, а также пожарной техникой, оборудованием, инвентарем и снаряжением;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обеспечение проведения ежегодных плановых мероприятий по противопожарному обустройству лесов;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осуществление наземного и авиационного мониторинга пожарной опасности в лесах и лесных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ежегодное осуществление плановых лесозащитных мероприятий;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создание эффективной системы управления защитой лесов».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2011-2012 годах, впервые за последние годы регион получил для оснащения четырех пожарно-технических станций комплекты техники (75 единиц) на сумму около 140 млн. рублей.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 приобретение специализированной техники для тушения лесных пожаров на территории Новгородской области из федерального бюджета в 2014 году предусмотрено выделить 4,8 млн рублей.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2012 года на территории области внедряется Система дистанционного мониторинга «Лесохранитель».  Изначально было установлено 8 очень качественных современных видеокамер AXIS в юго-восточной части области на антенно-мачтовых опорах компании «МегаФон» на высоте 70-75 метров для слежения за лесами в пожароопасный период, все камеры подключены в единую систему «Лесохранитель». Система замыкается на центр круглосуточной диспетчерской службы Комитета лесного хозяйства и лесной промышленности Новгородской области, от оперативности которого зависят дальнейшие действия по борьбе с лесными пожарами, и позволяет через мониторы следить за ситуацией в лесном комплексе, при появлении возгорания задействовать технические и людские ресурсы для его локализации. По информации, полученной с камеры, рассчитывается местоположение (координаты и площадь) очага пожара, наносится на карту Новгородской области и о пожаре оперативно информируются соответствующие службы.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В 2013 году количество камер достигло 20 штук. В дальнейшем системой дистанционного мониторинга за ситуацией в лесах планируется покрыть территорию всей области (сейчас охвачено только 15%).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Новгородской области утвержден ряд документов по охране лесов от пожаров в 2012 году, в их числе: план мероприятий по организации этой работы, регламент о порядке взаимодействия и осуществления информационного обмена между Главным управлением МЧС России, комитетом лесного хозяйства и лесной промышленности. В регионе также утверждены авиационные и наземные маршруты патрулирования лесного фонда на территории области для своевременного обнаружения очагов возгорания, заключен  государственный контракт на выполнение авиационных работ по охране лесов от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соответствии с Методическими рекомендациями органам местного самоуправления в соответствии с ФЗ РФ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территории поселения органы местного самоуправления, в части организации обеспечения первичных мер пожарной безопасности, должны осуществлять контроль за градостроительной деятельностью, соблюдением требований пожарной безопасности при планировке и застройке территорий.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соответствии с требованиями Федерального закона Российской Федерации от 22 июля 2008 г. № 123-ФЗ «Технический регламент о требованиях пожарной безопасности», при градостроительной деятельности проектировщик, на последующих стадиях проектирования при разработке документации по планировке территории, должен учитывать требования ст. 65-77 указанного Закона к размещению объектов капитального строительства на территориях сельских поселений с соблюдением противопожарных расстояний и обеспечением проходов (проездов); с обеспечением противопожарного водоснабжения.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2.4. Основные показатели риска для наиболее опасного и наиболее вероятностного сценария развития чрезвычайных ситуаций на территории Едровского сельского поселения.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Таким образом на территории Едровского сельского поселения Валдайского района Новгородской области существует возможность возникновения чрезвычайных ситуаций природного и техногенного характера.  Ниже приводятся данные по показателям степени риска для наиболее опасного и наиболее вероятностного сценария развития ЧС на территории поселения:</w:t>
      </w:r>
    </w:p>
    <w:p w:rsidR="00467F1A" w:rsidRPr="00467F1A" w:rsidRDefault="00467F1A" w:rsidP="00467F1A">
      <w:pPr>
        <w:spacing w:after="0"/>
        <w:jc w:val="both"/>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0"/>
        <w:gridCol w:w="1897"/>
        <w:gridCol w:w="2717"/>
        <w:gridCol w:w="2717"/>
      </w:tblGrid>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Наименование объекта</w:t>
            </w:r>
          </w:p>
        </w:tc>
        <w:tc>
          <w:tcPr>
            <w:tcW w:w="314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Наиболее опасный сценарий развития аварии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(вероятность аварии, год-1)</w:t>
            </w:r>
          </w:p>
        </w:tc>
        <w:tc>
          <w:tcPr>
            <w:tcW w:w="314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Наиболее вероятный  сценарий развития аварии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(вероятность аварии, год-1)</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Магистральный газопровод ООО «ГазпромТрансГаз с.-Петербург, проходит по территории СП</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1,47∙10-5</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7,09∙10-5</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АЗС №55 Валдайской нефтебазы ООО «Новго</w:t>
            </w:r>
            <w:r w:rsidRPr="00467F1A">
              <w:rPr>
                <w:rFonts w:ascii="Times New Roman" w:hAnsi="Times New Roman" w:cs="Times New Roman"/>
                <w:sz w:val="20"/>
                <w:szCs w:val="20"/>
              </w:rPr>
              <w:softHyphen/>
              <w:t>роднеф</w:t>
            </w:r>
            <w:r w:rsidRPr="00467F1A">
              <w:rPr>
                <w:rFonts w:ascii="Times New Roman" w:hAnsi="Times New Roman" w:cs="Times New Roman"/>
                <w:sz w:val="20"/>
                <w:szCs w:val="20"/>
              </w:rPr>
              <w:softHyphen/>
              <w:t>тепродукт»,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Едрово</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6,26∙10-11</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6,96∙10-10</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АЗС №15 Новго</w:t>
            </w:r>
            <w:r w:rsidRPr="00467F1A">
              <w:rPr>
                <w:rFonts w:ascii="Times New Roman" w:hAnsi="Times New Roman" w:cs="Times New Roman"/>
                <w:sz w:val="20"/>
                <w:szCs w:val="20"/>
              </w:rPr>
              <w:softHyphen/>
              <w:t>родского филиала,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ООО «ЛУКОЙЛ-Северо-Западнефтепродукт»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 Едрово</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3,78∙10-11</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4,20∙10-10</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АЗС №31 ЗАО «Газпромнефть-Северо-Запад»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с.Едрово, а/м дорога М-10 368 км+700 м (справа)</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1,62∙10-11</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1,80∙10-10</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АЗС №32 ЗАО «Газпромнефть-Северо-Запад»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с.Едрово, а/м дорога М-10 368 км+900 м (слева)</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1,62∙10-11</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1,80∙10-10</w:t>
            </w:r>
          </w:p>
        </w:tc>
      </w:tr>
      <w:tr w:rsidR="00467F1A" w:rsidRPr="00467F1A" w:rsidTr="00A51C94">
        <w:tc>
          <w:tcPr>
            <w:tcW w:w="2240" w:type="dxa"/>
            <w:vMerge w:val="restart"/>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Участок автодороги (с.Едрово)</w:t>
            </w: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Разгерметизация автоцистерны с ГСМ</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8,04∙10-13</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8,93∙10-12</w:t>
            </w:r>
          </w:p>
        </w:tc>
      </w:tr>
      <w:tr w:rsidR="00467F1A" w:rsidRPr="00467F1A" w:rsidTr="00A51C94">
        <w:tc>
          <w:tcPr>
            <w:tcW w:w="2240" w:type="dxa"/>
            <w:vMerge/>
          </w:tcPr>
          <w:p w:rsidR="00467F1A" w:rsidRPr="00467F1A" w:rsidRDefault="00467F1A" w:rsidP="00467F1A">
            <w:pPr>
              <w:spacing w:after="0"/>
              <w:jc w:val="both"/>
              <w:rPr>
                <w:rFonts w:ascii="Times New Roman" w:hAnsi="Times New Roman" w:cs="Times New Roman"/>
                <w:sz w:val="20"/>
                <w:szCs w:val="20"/>
              </w:rPr>
            </w:pP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Разгерметизация автоцистерны с СУГ</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4,43∙10-7</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2,62∙10-5</w:t>
            </w:r>
          </w:p>
        </w:tc>
      </w:tr>
      <w:tr w:rsidR="00467F1A" w:rsidRPr="00467F1A" w:rsidTr="00A51C94">
        <w:tc>
          <w:tcPr>
            <w:tcW w:w="2240" w:type="dxa"/>
            <w:vMerge/>
          </w:tcPr>
          <w:p w:rsidR="00467F1A" w:rsidRPr="00467F1A" w:rsidRDefault="00467F1A" w:rsidP="00467F1A">
            <w:pPr>
              <w:spacing w:after="0"/>
              <w:jc w:val="both"/>
              <w:rPr>
                <w:rFonts w:ascii="Times New Roman" w:hAnsi="Times New Roman" w:cs="Times New Roman"/>
                <w:sz w:val="20"/>
                <w:szCs w:val="20"/>
              </w:rPr>
            </w:pP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Разгерметизация автоцистерны с АХОВ</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1,49∙10-6</w:t>
            </w:r>
          </w:p>
        </w:tc>
      </w:tr>
      <w:tr w:rsidR="00467F1A" w:rsidRPr="00467F1A" w:rsidTr="00A51C94">
        <w:tc>
          <w:tcPr>
            <w:tcW w:w="2240" w:type="dxa"/>
            <w:vMerge w:val="restart"/>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Участок  железной дороги (с.Едрово)</w:t>
            </w: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Разгерметизация ж/д цистерны с ГСМ</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1,15∙10-13</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1,28∙10-12</w:t>
            </w:r>
          </w:p>
        </w:tc>
      </w:tr>
      <w:tr w:rsidR="00467F1A" w:rsidRPr="00467F1A" w:rsidTr="00A51C94">
        <w:tc>
          <w:tcPr>
            <w:tcW w:w="2240" w:type="dxa"/>
            <w:vMerge/>
          </w:tcPr>
          <w:p w:rsidR="00467F1A" w:rsidRPr="00467F1A" w:rsidRDefault="00467F1A" w:rsidP="00467F1A">
            <w:pPr>
              <w:spacing w:after="0"/>
              <w:jc w:val="both"/>
              <w:rPr>
                <w:rFonts w:ascii="Times New Roman" w:hAnsi="Times New Roman" w:cs="Times New Roman"/>
                <w:sz w:val="20"/>
                <w:szCs w:val="20"/>
              </w:rPr>
            </w:pP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Разгерметизация ж/д цистерны с СУГ</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6.33∙10-8</w:t>
            </w:r>
          </w:p>
        </w:tc>
        <w:tc>
          <w:tcPr>
            <w:tcW w:w="3140" w:type="dxa"/>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3,74∙10-6</w:t>
            </w:r>
          </w:p>
        </w:tc>
      </w:tr>
      <w:tr w:rsidR="00467F1A" w:rsidRPr="00467F1A" w:rsidTr="00A51C94">
        <w:tc>
          <w:tcPr>
            <w:tcW w:w="2240" w:type="dxa"/>
            <w:vMerge/>
          </w:tcPr>
          <w:p w:rsidR="00467F1A" w:rsidRPr="00467F1A" w:rsidRDefault="00467F1A" w:rsidP="00467F1A">
            <w:pPr>
              <w:spacing w:after="0"/>
              <w:jc w:val="both"/>
              <w:rPr>
                <w:rFonts w:ascii="Times New Roman" w:hAnsi="Times New Roman" w:cs="Times New Roman"/>
                <w:sz w:val="20"/>
                <w:szCs w:val="20"/>
              </w:rPr>
            </w:pP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Разгерметизация ж/д цистерны с АХОВ</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2.13∙10-7</w:t>
            </w:r>
          </w:p>
        </w:tc>
      </w:tr>
      <w:tr w:rsidR="00467F1A" w:rsidRPr="00467F1A" w:rsidTr="00A51C94">
        <w:tc>
          <w:tcPr>
            <w:tcW w:w="2240" w:type="dxa"/>
            <w:vMerge w:val="restart"/>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Электроэнергетические системы и системы связи</w:t>
            </w: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ЛЭП</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ВЛ-10 кВ - 0,28</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ВЛ-0,4 кВ – 0,96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ВЛ-35 кВ – 0,005</w:t>
            </w:r>
          </w:p>
        </w:tc>
      </w:tr>
      <w:tr w:rsidR="00467F1A" w:rsidRPr="00467F1A" w:rsidTr="00A51C94">
        <w:tc>
          <w:tcPr>
            <w:tcW w:w="2240" w:type="dxa"/>
            <w:vMerge/>
          </w:tcPr>
          <w:p w:rsidR="00467F1A" w:rsidRPr="00467F1A" w:rsidRDefault="00467F1A" w:rsidP="00467F1A">
            <w:pPr>
              <w:spacing w:after="0"/>
              <w:jc w:val="both"/>
              <w:rPr>
                <w:rFonts w:ascii="Times New Roman" w:hAnsi="Times New Roman" w:cs="Times New Roman"/>
                <w:sz w:val="20"/>
                <w:szCs w:val="20"/>
              </w:rPr>
            </w:pPr>
          </w:p>
        </w:tc>
        <w:tc>
          <w:tcPr>
            <w:tcW w:w="1900" w:type="dxa"/>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Трансформаторные подстанции</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7,5∙10-5</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Коммунальные системы жизнеобеспечения</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0-1</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Лесные пожары</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&lt; 1</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Шквалы, сильный ветер</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0,05</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Сильный снег, метель</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0,1</w:t>
            </w:r>
          </w:p>
        </w:tc>
      </w:tr>
      <w:tr w:rsidR="00467F1A" w:rsidRPr="00467F1A" w:rsidTr="00A51C94">
        <w:tc>
          <w:tcPr>
            <w:tcW w:w="4140" w:type="dxa"/>
            <w:gridSpan w:val="2"/>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Высокие уровни воды (наводнения, половодье, дождевые паводки, заторы), разрушение мостов</w:t>
            </w:r>
          </w:p>
        </w:tc>
        <w:tc>
          <w:tcPr>
            <w:tcW w:w="6280" w:type="dxa"/>
            <w:gridSpan w:val="2"/>
            <w:vAlign w:val="center"/>
          </w:tcPr>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0,22</w:t>
            </w:r>
          </w:p>
        </w:tc>
      </w:tr>
    </w:tbl>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Авария с наиболее неблагоприятными последствиями на территории Едровского сельского поселения Валдайского муниципального района – это авария на участке железной дороги, связанная с разгерметизацией железнодорожной цистерны с АХОВ. В случае возникновения этой чрезвычайной ситуации возможны поражения людей, большой материальный ущерб и загрязнение окружающей среды.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миниминизации последствий от возможных чрезвычайных ситуаций Администрациями всех уровней предусматриваются мероприятия, которые позволят уменьшить как вероятность возникновения ЧС, так и уменьшить последствия ими вызванные. На территории Новгородской области действует Государственная программа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2014-2017 годы» (Постановление Правительства Новгородской области от 28.10.2013 г №316), которой предусмотрен</w:t>
      </w:r>
      <w:r w:rsidR="00B612E4">
        <w:rPr>
          <w:rFonts w:ascii="Times New Roman" w:hAnsi="Times New Roman" w:cs="Times New Roman"/>
          <w:sz w:val="20"/>
          <w:szCs w:val="20"/>
        </w:rPr>
        <w:t>а реализация целого ряда меропри</w:t>
      </w:r>
      <w:r w:rsidRPr="00467F1A">
        <w:rPr>
          <w:rFonts w:ascii="Times New Roman" w:hAnsi="Times New Roman" w:cs="Times New Roman"/>
          <w:sz w:val="20"/>
          <w:szCs w:val="20"/>
        </w:rPr>
        <w:t xml:space="preserve">ятий в области защиты населения  и территории от чрезвычайных ситуаций. Значительное внимание этому вопросу уделено и в Схеме территориального планирования Новгородской области (утверждена </w:t>
      </w:r>
      <w:hyperlink w:anchor="sub_0" w:history="1">
        <w:r w:rsidRPr="00467F1A">
          <w:rPr>
            <w:rFonts w:ascii="Times New Roman" w:hAnsi="Times New Roman" w:cs="Times New Roman"/>
            <w:sz w:val="20"/>
            <w:szCs w:val="20"/>
          </w:rPr>
          <w:t>Постановление</w:t>
        </w:r>
      </w:hyperlink>
      <w:r w:rsidRPr="00467F1A">
        <w:rPr>
          <w:rFonts w:ascii="Times New Roman" w:hAnsi="Times New Roman" w:cs="Times New Roman"/>
          <w:sz w:val="20"/>
          <w:szCs w:val="20"/>
        </w:rPr>
        <w:t>м  Администрации Новгородской области от 26 июня 2012 г. №370).</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РФ,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КЧС ПБ могут обращаться за помощью к вышестоящим комиссиям КЧС ПБ.</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Особое внимание следует уделять предупреждению  чрезвычайных ситуаций на стадии эксплуатации производственных объектов, на которых должны  быть налажены: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постоянный мониторинг обстановки и окружающей среды в повседневных условиях методом наблюдения, сбора и обработки информации;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разработка и реализация мероприятий по предупреждению чрезвычайных ситуаций;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подготовка объектовых органов управления, сил и средств к действиям по предупреждению и ликвидации чрезвычайных ситуаций;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подготовка населения к действиям при чрезвычайных ситуациях;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создание объектовых резервов материальных и финансовых ресурсов для ликвидации чрезвычайных ситуаций.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2.5. </w:t>
      </w:r>
      <w:bookmarkStart w:id="88" w:name="_Toc262632952"/>
      <w:bookmarkStart w:id="89" w:name="_Toc275519956"/>
      <w:bookmarkStart w:id="90" w:name="_Toc275526193"/>
      <w:bookmarkStart w:id="91" w:name="_Toc277852531"/>
      <w:bookmarkStart w:id="92" w:name="_Toc322965170"/>
      <w:r w:rsidRPr="00467F1A">
        <w:rPr>
          <w:rFonts w:ascii="Times New Roman" w:hAnsi="Times New Roman" w:cs="Times New Roman"/>
          <w:sz w:val="20"/>
          <w:szCs w:val="20"/>
        </w:rPr>
        <w:t xml:space="preserve"> Мероприятия по ЧС природного характера</w:t>
      </w:r>
      <w:bookmarkEnd w:id="88"/>
      <w:bookmarkEnd w:id="89"/>
      <w:r w:rsidRPr="00467F1A">
        <w:rPr>
          <w:rFonts w:ascii="Times New Roman" w:hAnsi="Times New Roman" w:cs="Times New Roman"/>
          <w:sz w:val="20"/>
          <w:szCs w:val="20"/>
        </w:rPr>
        <w:t>.</w:t>
      </w:r>
      <w:bookmarkEnd w:id="90"/>
      <w:bookmarkEnd w:id="91"/>
      <w:bookmarkEnd w:id="92"/>
    </w:p>
    <w:p w:rsidR="00467F1A" w:rsidRPr="00467F1A" w:rsidRDefault="00467F1A" w:rsidP="00467F1A">
      <w:pPr>
        <w:spacing w:after="0"/>
        <w:jc w:val="both"/>
        <w:rPr>
          <w:rFonts w:ascii="Times New Roman" w:hAnsi="Times New Roman" w:cs="Times New Roman"/>
          <w:sz w:val="20"/>
          <w:szCs w:val="20"/>
        </w:rPr>
      </w:pPr>
      <w:bookmarkStart w:id="93" w:name="_Toc262632953"/>
      <w:bookmarkStart w:id="94" w:name="_Toc275519957"/>
      <w:bookmarkStart w:id="95" w:name="_Toc275526194"/>
      <w:bookmarkStart w:id="96" w:name="_Toc277852532"/>
      <w:bookmarkStart w:id="97" w:name="_Toc322965171"/>
      <w:r w:rsidRPr="00467F1A">
        <w:rPr>
          <w:rFonts w:ascii="Times New Roman" w:hAnsi="Times New Roman" w:cs="Times New Roman"/>
          <w:sz w:val="20"/>
          <w:szCs w:val="20"/>
        </w:rPr>
        <w:t>2.5.1. Мероприятия по защите населения при лесных пожарах</w:t>
      </w:r>
      <w:bookmarkEnd w:id="93"/>
      <w:bookmarkEnd w:id="94"/>
      <w:bookmarkEnd w:id="95"/>
      <w:bookmarkEnd w:id="96"/>
      <w:bookmarkEnd w:id="97"/>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Серьезную опасность для природной среды, экономики и населения представляют лесные и торфяные пожары.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инженерную разведку очага пожара (характер пожара, размеры очага, направление и скорость распространения, населенные пункты, которым угрожает пожар, положение людей в зоне пожара и на пути его распространения);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устройство заградительных полос и отсечение фронта огня от населенных пунктов и промышленных объектов;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рассечение очагов пожаров с устройством проездов в зону горения для обеспечения тушения пожара и эвакуации населения;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устройство проездов к водоемам, оборудование мест для забора воды и другие задачи.</w:t>
      </w:r>
    </w:p>
    <w:p w:rsidR="00467F1A" w:rsidRPr="00467F1A" w:rsidRDefault="00467F1A" w:rsidP="00467F1A">
      <w:pPr>
        <w:spacing w:after="0"/>
        <w:jc w:val="both"/>
        <w:rPr>
          <w:rFonts w:ascii="Times New Roman" w:hAnsi="Times New Roman" w:cs="Times New Roman"/>
          <w:sz w:val="20"/>
          <w:szCs w:val="20"/>
        </w:rPr>
      </w:pPr>
      <w:bookmarkStart w:id="98" w:name="_Toc260824389"/>
      <w:bookmarkStart w:id="99" w:name="_Toc262632954"/>
      <w:bookmarkStart w:id="100" w:name="_Toc265173385"/>
      <w:bookmarkStart w:id="101" w:name="_Toc280125680"/>
      <w:bookmarkStart w:id="102" w:name="_Toc289090063"/>
      <w:bookmarkStart w:id="103" w:name="_Toc289164473"/>
      <w:bookmarkStart w:id="104" w:name="_Toc289422189"/>
      <w:bookmarkStart w:id="105" w:name="_Toc290990924"/>
      <w:bookmarkStart w:id="106" w:name="_Toc322965172"/>
      <w:bookmarkStart w:id="107" w:name="_Toc260824391"/>
      <w:bookmarkStart w:id="108" w:name="_Toc262632956"/>
      <w:bookmarkStart w:id="109" w:name="_Toc275519960"/>
      <w:bookmarkStart w:id="110" w:name="_Toc275526197"/>
      <w:bookmarkStart w:id="111" w:name="_Toc277852533"/>
      <w:r w:rsidRPr="00467F1A">
        <w:rPr>
          <w:rFonts w:ascii="Times New Roman" w:hAnsi="Times New Roman" w:cs="Times New Roman"/>
          <w:sz w:val="20"/>
          <w:szCs w:val="20"/>
        </w:rPr>
        <w:t>2.5.2. Мероприятия по защите населения при наводнениях</w:t>
      </w:r>
      <w:bookmarkEnd w:id="98"/>
      <w:bookmarkEnd w:id="99"/>
      <w:bookmarkEnd w:id="100"/>
      <w:bookmarkEnd w:id="101"/>
      <w:bookmarkEnd w:id="102"/>
      <w:bookmarkEnd w:id="103"/>
      <w:bookmarkEnd w:id="104"/>
      <w:bookmarkEnd w:id="105"/>
      <w:bookmarkEnd w:id="106"/>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Наводнения относятся к стихийным гидрологическим явлениям, связанным с повышением уровня воды в водоемах и водотоках и затоплением прилегающей местности.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 удельному материальному ущербу наводнения уступают лишь землетрясениям.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Каждому виду наводнения соответствуют свои инженерно-технические мероприятия по защите от их последствий. К ним относятся: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инженерная разведка развития опасных природных явлений;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применение способа спрямления русла реки;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 xml:space="preserve">сооружение ограждающих дамб (валов) и других сооружений, для задержания водных и селевых потоков, сбора или стока их;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использование способа подсыпки территорий; проведение берегоукрепительных и дноуглубительных работ;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накопление аварийных запасов материала для заделывания пробоин, прорывов и наращивания высоты дамб;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оборудование мест посадки и высадки;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накопление и организация безопасного хранения резервных и автономных источников электрической и тепловой энергии.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Накопленный отечественный и зарубежный опыт проведения мероприятий по уменьшению последствий от наводнений свидетельствуют, что наименьшие материальные затраты и более надежная защита территорий от затопления достигается лишь при применении комбинированного способа борьбы с наводнениями, когда вышеперечисленные, активные и пассивные методы защиты используются в комплексе, проводятся оперативно и своевременно.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Для успешного проведения защитных мероприятий накануне конкретного наводнения очень важен своевременный и достоверный гидрометеорологический прогноз.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Прогнозирование угрозы наводнения позволяет своевременно осуществить комплекс предупредительных мероприятий, значительно снижающих возможный ущерб и потери, а также заблаговременно создать условия для проведения спасательных и других неотложных работ в зоне затопления. </w:t>
      </w:r>
    </w:p>
    <w:p w:rsidR="00467F1A" w:rsidRPr="00467F1A" w:rsidRDefault="00467F1A" w:rsidP="00467F1A">
      <w:pPr>
        <w:spacing w:after="0"/>
        <w:jc w:val="both"/>
        <w:rPr>
          <w:rFonts w:ascii="Times New Roman" w:hAnsi="Times New Roman" w:cs="Times New Roman"/>
          <w:sz w:val="20"/>
          <w:szCs w:val="20"/>
        </w:rPr>
      </w:pPr>
      <w:bookmarkStart w:id="112" w:name="_Toc322965173"/>
      <w:r w:rsidRPr="00467F1A">
        <w:rPr>
          <w:rFonts w:ascii="Times New Roman" w:hAnsi="Times New Roman" w:cs="Times New Roman"/>
          <w:sz w:val="20"/>
          <w:szCs w:val="20"/>
        </w:rPr>
        <w:t>2.5.3. Мероприятия по защите при ураганах, бурях, смерчах</w:t>
      </w:r>
      <w:bookmarkEnd w:id="107"/>
      <w:bookmarkEnd w:id="108"/>
      <w:bookmarkEnd w:id="109"/>
      <w:bookmarkEnd w:id="110"/>
      <w:bookmarkEnd w:id="111"/>
      <w:bookmarkEnd w:id="112"/>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Ураганы, бури и смерчи относятся к ветровым метеорологическим явлениям, по своему разрушающему воздействию часто сравнимы с землетрясениями. Основным показателем, определяющим разрушающее действие ураганов, бурь и смерчей, является скоростной напор воздушных масс, обусловливающий силу динамического удара и обладающий метательным действием.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 скорости распространения опасности ураганы, бури и смерчи, учитывая в большинстве случаев наличие прогноза этих явлений (штормовых предупреждений), могут быть отнесены к чрезвычайным событиям с умеренной скоростью распространения. Это позволяет осуществлять широкий комплекс предупредительных мероприятий как в период, предшествующий непосредственной угрозе возникновения, так и после их возникновения - до момента прямого воздействия.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Эти мероприятия по времени подразделяются на две группы: заблаговременные (предупредительные) мероприятия и работы; оперативные защитные мероприятия, проводимые после объявления неблагоприятного прогноза, непосредственно перед данным ураганом (бурей, смерчем).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Заблаговременные (предупредительные) мероприятия и работы осуществляются с целью предотвращения значительного ущерба задолго до начала воздействия урагана, бури и смерча и могут охватывать продолжительный отрезок времени.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К заблаговременным мероприятиям относятся: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ограничение в землепользовании в районах частого прохождения ураганов, бурь и смерчей;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ограничение в размещении объектов с опасными производствами;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демонтаж некоторых устаревших или непрочных зданий и сооружений;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укрепление производственных, жилых и иных зданий, и сооружений;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проведение инженерно-технических мероприятий по снижению риска опасных производств в условиях сильного ветра, в т.ч. повышение физической стойкости хранилищ и оборудования с легковоспламеняющимися и другими опасными веществами;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создание материально-технических резервов; подготовка населения и персонала спасательных служб.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 защитным мероприятиям, проводимым после получения штормового предупреждения, относят: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прогнозирование пути прохождения и времени подхода к различным районам урагана (бури, смерча), а также его последствий;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оперативное увеличение размеров материально-технического резерва, необходимого для ликвидации последствий урагана (бури, смерча);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частичную эвакуацию населения;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подготовку убежищ, подвалов и других заглубленных помещений для защиты населения;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перемещение в прочные или заглубленные помещения уникального и особо ценного имущества;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подготовку к восстановительным работам и мерам по жизнеобеспечению населения.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Меры по снижению возможного ущерба от ураганов, бурь и смерчей принимаются с учетом соотношения степени риска и возможных масштабов ущерба к требуемым затратам.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 xml:space="preserve">Особое внимание при проведении заблаговременных и оперативных мер по снижению ущерба обращается на предотвращение тех разрушений, которые могут привести к возникновению вторичных факторов поражения, превышающих по тяжести воздействие самого стихийного бедствия.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Важным направлением работы по снижению ущерба является борьба за устойчивость линий связи, сетей электроснабжения, городского и междугородного транспорта. Основным способом повышения устойчивости в этом случае является их дублирование временными и более надежными в условиях сильного ветра средствами.</w:t>
      </w:r>
    </w:p>
    <w:p w:rsidR="00467F1A" w:rsidRPr="00467F1A" w:rsidRDefault="00467F1A" w:rsidP="00467F1A">
      <w:pPr>
        <w:spacing w:after="0"/>
        <w:jc w:val="both"/>
        <w:rPr>
          <w:rFonts w:ascii="Times New Roman" w:hAnsi="Times New Roman" w:cs="Times New Roman"/>
          <w:sz w:val="20"/>
          <w:szCs w:val="20"/>
        </w:rPr>
      </w:pPr>
      <w:bookmarkStart w:id="113" w:name="_Toc262632959"/>
      <w:bookmarkStart w:id="114" w:name="_Toc275519962"/>
      <w:bookmarkStart w:id="115" w:name="_Toc275526199"/>
      <w:bookmarkStart w:id="116" w:name="_Toc277852535"/>
      <w:bookmarkStart w:id="117" w:name="_Toc322965175"/>
      <w:r w:rsidRPr="00467F1A">
        <w:rPr>
          <w:rFonts w:ascii="Times New Roman" w:hAnsi="Times New Roman" w:cs="Times New Roman"/>
          <w:sz w:val="20"/>
          <w:szCs w:val="20"/>
        </w:rPr>
        <w:t>2.5.4. Мероприятия по обеспечению пожарной безопасности</w:t>
      </w:r>
      <w:bookmarkEnd w:id="113"/>
      <w:bookmarkEnd w:id="114"/>
      <w:bookmarkEnd w:id="115"/>
      <w:bookmarkEnd w:id="116"/>
      <w:bookmarkEnd w:id="117"/>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проектировании и размещении на территории населенного пункта пожаровзрывоопасных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населенного пункта,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населенного пункта. При этом расчетное значение пожарного риска не должно превышать допустимое значение пожарного риска, установленного № 123-ФЗ. При размещении пожаровзрывоопасных объектов в границах населенного пункта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При этом расстояние от границ земельного участка производственного объекта до зданий классов функциональной опасности Ф1 - Ф4,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w:t>
      </w:r>
      <w:smartTag w:uri="urn:schemas-microsoft-com:office:smarttags" w:element="metricconverter">
        <w:smartTagPr>
          <w:attr w:name="ProductID" w:val="50 метров"/>
        </w:smartTagPr>
        <w:r w:rsidRPr="00467F1A">
          <w:rPr>
            <w:rFonts w:ascii="Times New Roman" w:hAnsi="Times New Roman" w:cs="Times New Roman"/>
            <w:sz w:val="20"/>
            <w:szCs w:val="20"/>
          </w:rPr>
          <w:t>50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Комплексы сжиженных природных газов должны располагаться с подветренной стороны от поселка. Склады сжиженных углеводородных газов и легковоспламеняющихся жидкостей должны располагаться вне жилой зоны с подветренной стороны преобладающего направления ветра по отношению к жилым районам.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w:t>
      </w:r>
      <w:smartTag w:uri="urn:schemas-microsoft-com:office:smarttags" w:element="metricconverter">
        <w:smartTagPr>
          <w:attr w:name="ProductID" w:val="300 метров"/>
        </w:smartTagPr>
        <w:r w:rsidRPr="00467F1A">
          <w:rPr>
            <w:rFonts w:ascii="Times New Roman" w:hAnsi="Times New Roman" w:cs="Times New Roman"/>
            <w:sz w:val="20"/>
            <w:szCs w:val="20"/>
          </w:rPr>
          <w:t>300 метров</w:t>
        </w:r>
      </w:smartTag>
      <w:r w:rsidRPr="00467F1A">
        <w:rPr>
          <w:rFonts w:ascii="Times New Roman" w:hAnsi="Times New Roman" w:cs="Times New Roman"/>
          <w:sz w:val="20"/>
          <w:szCs w:val="20"/>
        </w:rPr>
        <w:t xml:space="preserve"> от них, если федеральными законами о технических регламентах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w:t>
      </w:r>
      <w:smartTag w:uri="urn:schemas-microsoft-com:office:smarttags" w:element="metricconverter">
        <w:smartTagPr>
          <w:attr w:name="ProductID" w:val="3000 метров"/>
        </w:smartTagPr>
        <w:r w:rsidRPr="00467F1A">
          <w:rPr>
            <w:rFonts w:ascii="Times New Roman" w:hAnsi="Times New Roman" w:cs="Times New Roman"/>
            <w:sz w:val="20"/>
            <w:szCs w:val="20"/>
          </w:rPr>
          <w:t>3000 метров</w:t>
        </w:r>
      </w:smartTag>
      <w:r w:rsidRPr="00467F1A">
        <w:rPr>
          <w:rFonts w:ascii="Times New Roman" w:hAnsi="Times New Roman" w:cs="Times New Roman"/>
          <w:sz w:val="20"/>
          <w:szCs w:val="20"/>
        </w:rPr>
        <w:t xml:space="preserve"> от них при условии оснащения складов средствами оповещения и связи, а также средствами локализации и тушения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пределах зон жилых застроек, общественно-деловых зон и зон рекреационного назначения допускается размещать производственные объекты, на территориях которых нет зданий, сооружений и строений категорий А, Б и В по взрывопожарной и пожарной опасности. При этом расстояние от границ земельного участка производственного объекта до жилых зданий, зданий детских дошкольных образовательных учреждений, общеобразовательных учреждений, учреждений здравоохранения и отдыха устанавливается в соответствии с требованиями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Подземные хранилища нефти, нефтепродуктов и сжиженных газов необходимо размещать в соответствии с требованиями норм проектирования указанных хранилищ.</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Противопожарное водоснабжение.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Состояние источников наружного и внутреннего противопожарного водоснабжения на территориях населенного пункта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Анализ системы противопожарного водоснабжения показывает, что состояние противопожарного водоснабжения не вполне отвечает предъявляемым требованиям.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населенного пункта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На территории населенного пункта должны быть источники наружного или внутреннего противопожарного водоснабжения.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 источникам наружного противопожарного водоснабжения относятся: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наружные водопроводные сети с пожарными гидрантами;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водные объекты, используемые для целей пожаротушения в соответствии с законодательством Российской Федерации.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Территория населенного пункта должна быть оборудована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Допускается не предусматривать водоснабжение для наружного пожаротушения в общественных зданиях I, II, III и IV степеней огнестойкости объемом до 250 кубических метров, производственных зданиях I и II степеней огнестойкости объемом до 1000 кубических метров (за исключением зданий с металлическими незащищенными или деревянными несущими конструкциями, а также с полимерным утеплителем объемом до 250 кубических метров) категории Д по пожаровзрывоопасности и пожарной опасности.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Расход воды на наружное пожаротушение из водопроводной сети установлен в таблицах 7 и 8 приложения к Федеральному закону от 22.07.08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Расход воды на наружное пожаротушение одно- и двухэтажных производственных объектов и одноэтажных складских зданий высотой не более </w:t>
      </w:r>
      <w:smartTag w:uri="urn:schemas-microsoft-com:office:smarttags" w:element="metricconverter">
        <w:smartTagPr>
          <w:attr w:name="ProductID" w:val="18 метров"/>
        </w:smartTagPr>
        <w:r w:rsidRPr="00467F1A">
          <w:rPr>
            <w:rFonts w:ascii="Times New Roman" w:hAnsi="Times New Roman" w:cs="Times New Roman"/>
            <w:sz w:val="20"/>
            <w:szCs w:val="20"/>
          </w:rPr>
          <w:t>18 метров</w:t>
        </w:r>
      </w:smartTag>
      <w:r w:rsidRPr="00467F1A">
        <w:rPr>
          <w:rFonts w:ascii="Times New Roman" w:hAnsi="Times New Roman" w:cs="Times New Roman"/>
          <w:sz w:val="20"/>
          <w:szCs w:val="20"/>
        </w:rPr>
        <w:t xml:space="preserve"> с несущими стальными конструкциями и ограждающими конструкциями из стальных профилированных или асбестоцементных листов со сгораемыми или с полимерными утеплителями следует принимать на </w:t>
      </w:r>
      <w:smartTag w:uri="urn:schemas-microsoft-com:office:smarttags" w:element="metricconverter">
        <w:smartTagPr>
          <w:attr w:name="ProductID" w:val="10 литров"/>
        </w:smartTagPr>
        <w:r w:rsidRPr="00467F1A">
          <w:rPr>
            <w:rFonts w:ascii="Times New Roman" w:hAnsi="Times New Roman" w:cs="Times New Roman"/>
            <w:sz w:val="20"/>
            <w:szCs w:val="20"/>
          </w:rPr>
          <w:t>10 литров</w:t>
        </w:r>
      </w:smartTag>
      <w:r w:rsidRPr="00467F1A">
        <w:rPr>
          <w:rFonts w:ascii="Times New Roman" w:hAnsi="Times New Roman" w:cs="Times New Roman"/>
          <w:sz w:val="20"/>
          <w:szCs w:val="20"/>
        </w:rPr>
        <w:t xml:space="preserve"> в секунду больше нормативов, указанных в таблицах 9 и 10 приложения к Федеральному закону от 22.07.08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Расход воды на наружное пожаротушение отдельно стоящих вспомогательных зданий производственных объектов следует принимать в соответствии с таблицей 8 приложения к Федеральному закону от 22.07.08 г. № 123-ФЗ как для общественных зданий, а встроенных в производственные здания - по общему объему здания в соответствии с таблицей 9 приложения к Федеральному закону от 22.07.08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w:t>
      </w:r>
      <w:smartTag w:uri="urn:schemas-microsoft-com:office:smarttags" w:element="metricconverter">
        <w:smartTagPr>
          <w:attr w:name="ProductID" w:val="10 метров"/>
        </w:smartTagPr>
        <w:r w:rsidRPr="00467F1A">
          <w:rPr>
            <w:rFonts w:ascii="Times New Roman" w:hAnsi="Times New Roman" w:cs="Times New Roman"/>
            <w:sz w:val="20"/>
            <w:szCs w:val="20"/>
          </w:rPr>
          <w:t>10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Установку пожарных гидрантов следует предусматривать вдоль автомобильных дорог на расстоянии не более </w:t>
      </w:r>
      <w:smartTag w:uri="urn:schemas-microsoft-com:office:smarttags" w:element="metricconverter">
        <w:smartTagPr>
          <w:attr w:name="ProductID" w:val="2,5 метра"/>
        </w:smartTagPr>
        <w:r w:rsidRPr="00467F1A">
          <w:rPr>
            <w:rFonts w:ascii="Times New Roman" w:hAnsi="Times New Roman" w:cs="Times New Roman"/>
            <w:sz w:val="20"/>
            <w:szCs w:val="20"/>
          </w:rPr>
          <w:t>2,5 метра</w:t>
        </w:r>
      </w:smartTag>
      <w:r w:rsidRPr="00467F1A">
        <w:rPr>
          <w:rFonts w:ascii="Times New Roman" w:hAnsi="Times New Roman" w:cs="Times New Roman"/>
          <w:sz w:val="20"/>
          <w:szCs w:val="20"/>
        </w:rPr>
        <w:t xml:space="preserve"> от края проезжей части, но не менее </w:t>
      </w:r>
      <w:smartTag w:uri="urn:schemas-microsoft-com:office:smarttags" w:element="metricconverter">
        <w:smartTagPr>
          <w:attr w:name="ProductID" w:val="5 метров"/>
        </w:smartTagPr>
        <w:r w:rsidRPr="00467F1A">
          <w:rPr>
            <w:rFonts w:ascii="Times New Roman" w:hAnsi="Times New Roman" w:cs="Times New Roman"/>
            <w:sz w:val="20"/>
            <w:szCs w:val="20"/>
          </w:rPr>
          <w:t>5 метров</w:t>
        </w:r>
      </w:smartTag>
      <w:r w:rsidRPr="00467F1A">
        <w:rPr>
          <w:rFonts w:ascii="Times New Roman" w:hAnsi="Times New Roman" w:cs="Times New Roman"/>
          <w:sz w:val="20"/>
          <w:szCs w:val="20"/>
        </w:rPr>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w:t>
      </w:r>
      <w:smartTag w:uri="urn:schemas-microsoft-com:office:smarttags" w:element="metricconverter">
        <w:smartTagPr>
          <w:attr w:name="ProductID" w:val="15 литров"/>
        </w:smartTagPr>
        <w:r w:rsidRPr="00467F1A">
          <w:rPr>
            <w:rFonts w:ascii="Times New Roman" w:hAnsi="Times New Roman" w:cs="Times New Roman"/>
            <w:sz w:val="20"/>
            <w:szCs w:val="20"/>
          </w:rPr>
          <w:t>15 литров</w:t>
        </w:r>
      </w:smartTag>
      <w:r w:rsidRPr="00467F1A">
        <w:rPr>
          <w:rFonts w:ascii="Times New Roman" w:hAnsi="Times New Roman" w:cs="Times New Roman"/>
          <w:sz w:val="20"/>
          <w:szCs w:val="20"/>
        </w:rPr>
        <w:t xml:space="preserve"> в секунду - 1 гидрант.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Проходы, проезды и подъезды к зданиям, сооружениям и строениям.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 Зданий с площадью более 10000 квадратных метров в городе – нет.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населенного пункта необходимо учитывать требования статьи 67 «Технического </w:t>
      </w:r>
      <w:r w:rsidRPr="00467F1A">
        <w:rPr>
          <w:rFonts w:ascii="Times New Roman" w:hAnsi="Times New Roman" w:cs="Times New Roman"/>
          <w:sz w:val="20"/>
          <w:szCs w:val="20"/>
        </w:rPr>
        <w:lastRenderedPageBreak/>
        <w:t>регламента о требованиях пожарной безопасности», утверждённого Федеральным законом от 22 июля 2008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Подъезд пожарных автомобилей должен быть обеспечен:</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Допускается предусматривать подъезд пожарных автомобилей только с одной стороны к зданиям, сооружениям и строениям в случаях: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 зданиям многоквартирных жилых домов высотой менее </w:t>
      </w:r>
      <w:smartTag w:uri="urn:schemas-microsoft-com:office:smarttags" w:element="metricconverter">
        <w:smartTagPr>
          <w:attr w:name="ProductID" w:val="28 метров"/>
        </w:smartTagPr>
        <w:r w:rsidRPr="00467F1A">
          <w:rPr>
            <w:rFonts w:ascii="Times New Roman" w:hAnsi="Times New Roman" w:cs="Times New Roman"/>
            <w:sz w:val="20"/>
            <w:szCs w:val="20"/>
          </w:rPr>
          <w:t>28 метров</w:t>
        </w:r>
      </w:smartTag>
      <w:r w:rsidRPr="00467F1A">
        <w:rPr>
          <w:rFonts w:ascii="Times New Roman" w:hAnsi="Times New Roman" w:cs="Times New Roman"/>
          <w:sz w:val="20"/>
          <w:szCs w:val="20"/>
        </w:rPr>
        <w:t xml:space="preserve"> и менее 9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менее </w:t>
      </w:r>
      <w:smartTag w:uri="urn:schemas-microsoft-com:office:smarttags" w:element="metricconverter">
        <w:smartTagPr>
          <w:attr w:name="ProductID" w:val="18 метров"/>
        </w:smartTagPr>
        <w:r w:rsidRPr="00467F1A">
          <w:rPr>
            <w:rFonts w:ascii="Times New Roman" w:hAnsi="Times New Roman" w:cs="Times New Roman"/>
            <w:sz w:val="20"/>
            <w:szCs w:val="20"/>
          </w:rPr>
          <w:t>18 метров</w:t>
        </w:r>
      </w:smartTag>
      <w:r w:rsidRPr="00467F1A">
        <w:rPr>
          <w:rFonts w:ascii="Times New Roman" w:hAnsi="Times New Roman" w:cs="Times New Roman"/>
          <w:sz w:val="20"/>
          <w:szCs w:val="20"/>
        </w:rPr>
        <w:t xml:space="preserve"> и менее 6 этажей;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двусторонней ориентации квартир или помещений;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К зданиям с площадью застройки более 10000 квадратных метров или шириной более </w:t>
      </w:r>
      <w:smartTag w:uri="urn:schemas-microsoft-com:office:smarttags" w:element="metricconverter">
        <w:smartTagPr>
          <w:attr w:name="ProductID" w:val="100 метров"/>
        </w:smartTagPr>
        <w:r w:rsidRPr="00467F1A">
          <w:rPr>
            <w:rFonts w:ascii="Times New Roman" w:hAnsi="Times New Roman" w:cs="Times New Roman"/>
            <w:sz w:val="20"/>
            <w:szCs w:val="20"/>
          </w:rPr>
          <w:t>100 метров</w:t>
        </w:r>
      </w:smartTag>
      <w:r w:rsidRPr="00467F1A">
        <w:rPr>
          <w:rFonts w:ascii="Times New Roman" w:hAnsi="Times New Roman" w:cs="Times New Roman"/>
          <w:sz w:val="20"/>
          <w:szCs w:val="20"/>
        </w:rPr>
        <w:t xml:space="preserve"> подъезд пожарных автомобилей должен быть обеспечен со всех сторон.</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467F1A">
          <w:rPr>
            <w:rFonts w:ascii="Times New Roman" w:hAnsi="Times New Roman" w:cs="Times New Roman"/>
            <w:sz w:val="20"/>
            <w:szCs w:val="20"/>
          </w:rPr>
          <w:t>6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исторической застройке допускается сохранять существующие размеры сквозных проездов (арок).</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Тупиковые проезды должны заканчиваться площадками для разворота пожарной техники размером не менее чем 15 x </w:t>
      </w:r>
      <w:smartTag w:uri="urn:schemas-microsoft-com:office:smarttags" w:element="metricconverter">
        <w:smartTagPr>
          <w:attr w:name="ProductID" w:val="15 метров"/>
        </w:smartTagPr>
        <w:r w:rsidRPr="00467F1A">
          <w:rPr>
            <w:rFonts w:ascii="Times New Roman" w:hAnsi="Times New Roman" w:cs="Times New Roman"/>
            <w:sz w:val="20"/>
            <w:szCs w:val="20"/>
          </w:rPr>
          <w:t>15 метров</w:t>
        </w:r>
      </w:smartTag>
      <w:r w:rsidRPr="00467F1A">
        <w:rPr>
          <w:rFonts w:ascii="Times New Roman" w:hAnsi="Times New Roman" w:cs="Times New Roman"/>
          <w:sz w:val="20"/>
          <w:szCs w:val="20"/>
        </w:rPr>
        <w:t xml:space="preserve">.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467F1A">
          <w:rPr>
            <w:rFonts w:ascii="Times New Roman" w:hAnsi="Times New Roman" w:cs="Times New Roman"/>
            <w:sz w:val="20"/>
            <w:szCs w:val="20"/>
          </w:rPr>
          <w:t>150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К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467F1A">
          <w:rPr>
            <w:rFonts w:ascii="Times New Roman" w:hAnsi="Times New Roman" w:cs="Times New Roman"/>
            <w:sz w:val="20"/>
            <w:szCs w:val="20"/>
          </w:rPr>
          <w:t>50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етров"/>
        </w:smartTagPr>
        <w:r w:rsidRPr="00467F1A">
          <w:rPr>
            <w:rFonts w:ascii="Times New Roman" w:hAnsi="Times New Roman" w:cs="Times New Roman"/>
            <w:sz w:val="20"/>
            <w:szCs w:val="20"/>
          </w:rPr>
          <w:t>7 метров</w:t>
        </w:r>
      </w:smartTag>
      <w:r w:rsidRPr="00467F1A">
        <w:rPr>
          <w:rFonts w:ascii="Times New Roman" w:hAnsi="Times New Roman" w:cs="Times New Roman"/>
          <w:sz w:val="20"/>
          <w:szCs w:val="20"/>
        </w:rPr>
        <w:t xml:space="preserve">, проездов - не менее </w:t>
      </w:r>
      <w:smartTag w:uri="urn:schemas-microsoft-com:office:smarttags" w:element="metricconverter">
        <w:smartTagPr>
          <w:attr w:name="ProductID" w:val="3,5 метра"/>
        </w:smartTagPr>
        <w:r w:rsidRPr="00467F1A">
          <w:rPr>
            <w:rFonts w:ascii="Times New Roman" w:hAnsi="Times New Roman" w:cs="Times New Roman"/>
            <w:sz w:val="20"/>
            <w:szCs w:val="20"/>
          </w:rPr>
          <w:t>3,5 метра</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Противопожарные расстояния между зданиями, сооружениями и строениями.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Требуется: проектирование и реконструкция не отвечающих требованиям существующих противопожарных расстояний. В этом случае, а также при дальнейшем проектировании расширении застройки населенного пункта, строительства объектов, в том числе - пожаровзрывоопасных, необходимо учитывать требования статей 69-75 «Технического регламента о требованиях пожарной безопасности», утверждённого Федеральным законам.</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с таблицей 11 приложения к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Противопожарные расстояния между стенами зданий, сооружений и строений без оконных проемов допускается уменьшать на 20 %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двухэтажных зданий, сооружений и строений каркасной и щитовой конструкции V степени огнестойкости, а также зданий, сооружений и строений с кровлей из горючих материалов противопожарные расстояния следует увеличивать на 20 %.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w:t>
      </w:r>
      <w:r w:rsidRPr="00467F1A">
        <w:rPr>
          <w:rFonts w:ascii="Times New Roman" w:hAnsi="Times New Roman" w:cs="Times New Roman"/>
          <w:sz w:val="20"/>
          <w:szCs w:val="20"/>
        </w:rPr>
        <w:lastRenderedPageBreak/>
        <w:t xml:space="preserve">приусадебных земельных участках следует принимать в соответствии с таблицей 11 приложения к № 123-ФЗ. Допускается уменьшать до </w:t>
      </w:r>
      <w:smartTag w:uri="urn:schemas-microsoft-com:office:smarttags" w:element="metricconverter">
        <w:smartTagPr>
          <w:attr w:name="ProductID" w:val="6 метров"/>
        </w:smartTagPr>
        <w:r w:rsidRPr="00467F1A">
          <w:rPr>
            <w:rFonts w:ascii="Times New Roman" w:hAnsi="Times New Roman" w:cs="Times New Roman"/>
            <w:sz w:val="20"/>
            <w:szCs w:val="20"/>
          </w:rPr>
          <w:t>6 метров</w:t>
        </w:r>
      </w:smartTag>
      <w:r w:rsidRPr="00467F1A">
        <w:rPr>
          <w:rFonts w:ascii="Times New Roman" w:hAnsi="Times New Roman" w:cs="Times New Roman"/>
          <w:sz w:val="20"/>
          <w:szCs w:val="20"/>
        </w:rPr>
        <w:t xml:space="preserve">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в таблице 11 приложения к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Противопожарные расстояния от границ застройки поселения до лесных массивов должны быть не менее </w:t>
      </w:r>
      <w:smartTag w:uri="urn:schemas-microsoft-com:office:smarttags" w:element="metricconverter">
        <w:smartTagPr>
          <w:attr w:name="ProductID" w:val="50 метров"/>
        </w:smartTagPr>
        <w:r w:rsidRPr="00467F1A">
          <w:rPr>
            <w:rFonts w:ascii="Times New Roman" w:hAnsi="Times New Roman" w:cs="Times New Roman"/>
            <w:sz w:val="20"/>
            <w:szCs w:val="20"/>
          </w:rPr>
          <w:t>50 метров</w:t>
        </w:r>
      </w:smartTag>
      <w:r w:rsidRPr="00467F1A">
        <w:rPr>
          <w:rFonts w:ascii="Times New Roman" w:hAnsi="Times New Roman" w:cs="Times New Roman"/>
          <w:sz w:val="20"/>
          <w:szCs w:val="20"/>
        </w:rPr>
        <w:t xml:space="preserve">, а от границ застройки городских поселений с одно-, двухэтажной индивидуальной застройкой до лесных массивов - не менее </w:t>
      </w:r>
      <w:smartTag w:uri="urn:schemas-microsoft-com:office:smarttags" w:element="metricconverter">
        <w:smartTagPr>
          <w:attr w:name="ProductID" w:val="15 метров"/>
        </w:smartTagPr>
        <w:r w:rsidRPr="00467F1A">
          <w:rPr>
            <w:rFonts w:ascii="Times New Roman" w:hAnsi="Times New Roman" w:cs="Times New Roman"/>
            <w:sz w:val="20"/>
            <w:szCs w:val="20"/>
          </w:rPr>
          <w:t>15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Противопожарные расстояния от зданий, сооружений и строений автозаправочных станций до граничащих с ними объектов защиты.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размещении автозаправочных станций на территории населенного пункта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до окон или дверей (для жилых и общественных зданий).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Требования пожарной безопасности по размещению подразделений пожарной охраны.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дальнейшем развитии застройки населенного пункта при проектировании размещения подразделений пожарной охраны требуется учитывать положения статьи 76 «Технического регламента о требованиях пожарной безопасности», утверждённого Федеральным законом от 22 июля 2008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Подразделения пожарной охраны населенных пунктов должны размещаться в зданиях пожарных депо.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Требования пожарной безопасности по размещению пожарных депо.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 дальнейшем развитии застройки населенного пункта, проектирование размещения и строительства пожарных депо для подразделений пожарной охраны необходимо осуществлять в соответствии с положениями статьи 77 «Технического регламента о требованиях пожарной безопасности», утверждённого Федеральным законом от 22 июля 2008 г. № 123-ФЗ.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Пожарные депо должны размещаться на земельных участках, имеющих выезды на магистральные улицы или дороги общего значения.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Расстояние от границ участка пожарного депо до общественных и жилых зданий должно быть не менее </w:t>
      </w:r>
      <w:smartTag w:uri="urn:schemas-microsoft-com:office:smarttags" w:element="metricconverter">
        <w:smartTagPr>
          <w:attr w:name="ProductID" w:val="15 метров"/>
        </w:smartTagPr>
        <w:r w:rsidRPr="00467F1A">
          <w:rPr>
            <w:rFonts w:ascii="Times New Roman" w:hAnsi="Times New Roman" w:cs="Times New Roman"/>
            <w:sz w:val="20"/>
            <w:szCs w:val="20"/>
          </w:rPr>
          <w:t>15 метров</w:t>
        </w:r>
      </w:smartTag>
      <w:r w:rsidRPr="00467F1A">
        <w:rPr>
          <w:rFonts w:ascii="Times New Roman" w:hAnsi="Times New Roman" w:cs="Times New Roman"/>
          <w:sz w:val="20"/>
          <w:szCs w:val="20"/>
        </w:rPr>
        <w:t xml:space="preserve">,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w:t>
      </w:r>
      <w:smartTag w:uri="urn:schemas-microsoft-com:office:smarttags" w:element="metricconverter">
        <w:smartTagPr>
          <w:attr w:name="ProductID" w:val="30 метров"/>
        </w:smartTagPr>
        <w:r w:rsidRPr="00467F1A">
          <w:rPr>
            <w:rFonts w:ascii="Times New Roman" w:hAnsi="Times New Roman" w:cs="Times New Roman"/>
            <w:sz w:val="20"/>
            <w:szCs w:val="20"/>
          </w:rPr>
          <w:t>30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Пожарное депо необходимо располагать на участке с отступом от красной линии до фронта выезда пожарных автомобилей не менее чем на </w:t>
      </w:r>
      <w:smartTag w:uri="urn:schemas-microsoft-com:office:smarttags" w:element="metricconverter">
        <w:smartTagPr>
          <w:attr w:name="ProductID" w:val="15 метров"/>
        </w:smartTagPr>
        <w:r w:rsidRPr="00467F1A">
          <w:rPr>
            <w:rFonts w:ascii="Times New Roman" w:hAnsi="Times New Roman" w:cs="Times New Roman"/>
            <w:sz w:val="20"/>
            <w:szCs w:val="20"/>
          </w:rPr>
          <w:t>15 метров</w:t>
        </w:r>
      </w:smartTag>
      <w:r w:rsidRPr="00467F1A">
        <w:rPr>
          <w:rFonts w:ascii="Times New Roman" w:hAnsi="Times New Roman" w:cs="Times New Roman"/>
          <w:sz w:val="20"/>
          <w:szCs w:val="20"/>
        </w:rPr>
        <w:t xml:space="preserve">, для пожарных депо II, IV и V типов указанное расстояние допускается уменьшать до </w:t>
      </w:r>
      <w:smartTag w:uri="urn:schemas-microsoft-com:office:smarttags" w:element="metricconverter">
        <w:smartTagPr>
          <w:attr w:name="ProductID" w:val="10 метров"/>
        </w:smartTagPr>
        <w:r w:rsidRPr="00467F1A">
          <w:rPr>
            <w:rFonts w:ascii="Times New Roman" w:hAnsi="Times New Roman" w:cs="Times New Roman"/>
            <w:sz w:val="20"/>
            <w:szCs w:val="20"/>
          </w:rPr>
          <w:t>10 метров</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Состав зданий, сооружений и строений, размещаемых на территории пожарного депо, площади зданий, сооружений и строений определяются техническим заданием на проектирование.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Территория пожарного депо должна иметь два въезда (выезда). Ширина ворот на въезде (выезде) должна быть не менее </w:t>
      </w:r>
      <w:smartTag w:uri="urn:schemas-microsoft-com:office:smarttags" w:element="metricconverter">
        <w:smartTagPr>
          <w:attr w:name="ProductID" w:val="4,5 метра"/>
        </w:smartTagPr>
        <w:r w:rsidRPr="00467F1A">
          <w:rPr>
            <w:rFonts w:ascii="Times New Roman" w:hAnsi="Times New Roman" w:cs="Times New Roman"/>
            <w:sz w:val="20"/>
            <w:szCs w:val="20"/>
          </w:rPr>
          <w:t>4,5 метра</w:t>
        </w:r>
      </w:smartTag>
      <w:r w:rsidRPr="00467F1A">
        <w:rPr>
          <w:rFonts w:ascii="Times New Roman" w:hAnsi="Times New Roman" w:cs="Times New Roman"/>
          <w:sz w:val="20"/>
          <w:szCs w:val="20"/>
        </w:rPr>
        <w:t>.</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Дороги и площадки на территории пожарного депо должны иметь твердое покрытие.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Для защиты территории Едровского сельского поселения от пожаров проектом предусмотрены следующие мероприятия: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1. Обеспечение населенных пунктов средствами проводной связи и радиосвязи.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 Развитие дорожной сети и совершенствование дорожного покрытия, обеспечение беспрепятственного проезда пожарных автомобилей к месту пожара.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3. Развитие и совершенствование наружного противопожарного водоснабжения.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4. Создание подразделений пожарной охраны.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5. Улучшение материально-технической базы пожарных депо.</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целях обеспечения пожарной безопасности в лесах в соответствии с Лесным кодексом РФ на уровне района необходимо осуществлять:</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противопожарное обустройство лесов, в том числе строительство, реконструкцию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мониторинг пожарной опасности в лесах;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разработка планов тушения лесных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тушение лесных пожаров;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иные меры пожарной безопасности в лесах.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2.5.5. Мероприятия по обеспечению безопасности людей на водных объектах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соответствии с Приказом МЧС России от 29 июня 2005 № 501 «Об утверждении правил технического надзора за маломерными судами, поднадзорными ГИМС МЧС России, базами (сооружениями) для их стоянок, пляжами и другими местами массового отдыха на водоемах, переправами и наплавными мостами» и постановлением Администрации Новгородской области от 28 мая 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в Новгородской области» органы местного самоуправления обязаны: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строго соблюдать требования по оборудованию и содержанию пляжей и мест массового купания людей на водных объектах;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организовать спасательные посты и устанавливать информационные запрещающие знаки.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целях обеспечения безопасности людей на водных объектах в зимнем периоде и в соответствии с разделом № 7 Правил охраны жизни людей на водных объектах в Новгородской области, утвержденными постановлением Администрации области от 28 мая 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в Новгородской области»: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принять правовые акты о запрете (разрешении) выхода людей и выезда транспортных средств на лед;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 местах массового скопления людей на льду организовать временные спасательные посты;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организовать выставление аншлагов с информацией о запрете выхода людей и выезда транспортных средств на лед.</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Ежегодно разрабатывается план по обеспечению безопасного поведения людей на водных объектах.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2.5.6. Мероприятия по предупреждению (снижению) последствий аварий на автомобильном транспорте: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постоянный контроль за состоянием автомобильных дорог, техническим состоянием автомобилей;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своевременный ремонт автомобилей и автомобильных дорог;</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поддержание в постоянной готовности сил и средств для своевременного ремонта автомобилей и автомобильных дорог;</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соблюдение технологических норм и правил эксплуатации автомобилей;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организация взаимодействия сил и средств, обеспечивающих ликвидацию чрезвычайных ситуаций на автомобильном транспорте.</w:t>
      </w: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Перечень основных руководящих, нормативных и методических документов, используемых при разработке раздела:</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Федеральные законы (законы Российской Федерации).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Градостроительный Кодекс Российской федерации от 29.12.2004  № 190-ФЗ;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гражданской обороне» от 12.02.1998  № 28-ФЗ;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защите населения и территорий от чрезвычайных ситуаций природного и техногенного характера» от 11.11.1994  № 68-ФЗ;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безопасности» от 28.12. 2010 № 390-ФЗ;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пожарной безопасности» от 21.12.1994  № 69-ФЗ;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 xml:space="preserve">«Технический регламент о требованиях пожарной безопасности» от 22.07.2008 №123 ФЗ; </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радиационной безопасности населения» от 9.01.1996  № 3-ФЗ;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промышленной безопасности опасных производственных объектов» от 21.07.1997 № 116-ФЗ.</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Указ Президента Российской Федерации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Вопросы Министерства Российской Федерации по делам гражданской обороны, чрезвычайным ситуациям и ликвидации стихийных бедствий от 02.08.1999 г. № 953.</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Постановления Правительства (совета министров) Российской федерации:</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единой государственной системе предупреждения и ликвидации чрезвычайных ситуаций» от 05.11.1995  № 1113.</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порядке создания убежищ и иных объектов гражданской обороны» от  29.11.1999  № 1309.</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порядке отнесения организаций к категориям по гражданской обороне» от 19.09.1998  № 1115.</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порядке отнесения территорий к группам по гражданской обороне» от 03.10.98  № 1149.</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создании локальных систем оповещения в районах размещения потенциально опасных объектов» от 01.03.1993  № 178.</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порядке организации и проведения государственной экспертизы проектной документации и результатов инженерных испытаний» от 05.03.2007  № 145.</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24.03.1997 г. № 334.</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силах и средствах Единой государственной системы предупреждения и ликвидации чрезвычайных ситуаций» от 03.08.1996 № 924.</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Единой государственной автоматизированной системе контроля радиационной обстановки на территории Российской Федерации» от 20 08.1992  № 600.</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«Вопросы строительства атомных станций на территории Российской Федерации» от 28.12.1992 № 1026.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мерах по обеспечению защиты персонала атомных станций и населения в случае возникновения радиационно опасных аварий на атомных станциях» от 23.10.1989 № 882.</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 утверждении Положения о порядке использования объектов и имущества гражданской обороны приватизированными предприятиями, учреждениями и организациями» от 23.04.1994 № 359.</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классификации чрезвычайных ситуаций природного и техногенного характера» от 13.09.1996 № 1094.</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порядке создания и использования резервов материальных ресурсов для ликвидации чрезвычайных ситуаций природного и техногенного характера» от 10.11.1996 № 1340.</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 утверждении Положения о водоохранных зонах водных объектов и их прибрежных защитных полосах» от 23.11.1996 № 1404.</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сроках декларирования промышленной безопасности действующих опасных производственных объектов» от 02.02.1998  № 142.</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«Об утверждении Правил представления декларации промышленной безопасности опасных производственных объектов» от 11.05.1999  № 526.</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«О неотложных мерах по предупреждению и ликвидации аварийных разливов нефти и нефтепродуктов» от 21.08.2000 № 613.</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Нормативно - технические документы: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ГОСТ Р 23.01.-94 «Безопасность в чрезвычайных ситуациях. Основные положения».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ГОСТ Р 22.0.02-94 «Безопасность в чрезвычайных ситуациях. Термины и определения основных понятий» (с Изменением №1, введенным в действие 01.01.2001 г. постановлением Госстандарта России от 31.05.2000 г. №148-ст).</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lastRenderedPageBreak/>
        <w:t>ГОСТ Р 22.0.05-94 «Безопасность в чрезвычайных ситуациях. Техногенные чрезвычайные ситуации. Термины и определения».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СП 11.13130.2009 «Места дислокации подразделений пожарной охраны».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ГОСТ Р 22.0.06-95 «Безопасность в чрезвычайных ситуациях. Источники техногенных чрезвычайных ситуаций».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ГОСТ Р 22.3.03-94 «Безопасность в чрезвычайных ситуациях. Защита населения. Основные положения».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ГОСТ Р 22.3.05-94 «Безопасность в чрезвычайных ситуациях. Жизнеобеспечение»</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ПНАЭ Г-05-035-94 «Учет внешних воздействий природного и техногенного происхождения на ядерно- и радиационно-опасные объекты».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2.06.15-85 «Инженерная защита территорий от затопления и подтопления».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2.01.15-90 «Инженерная защита территорий, зданий и сооружений от опасных геологических процессов. Основные положения проектирования».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2.07.01-89* «Градостроительство. Планировка и застройка городских и сельских поселений».</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II-7-81* «Строительство в сейсмических районах».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23-01-99 «Строительная климатология».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2.01.09-91 «Здания и сооружения на подрабатываемых территориях и просадочных грунтах».</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11-02-96 «Инженерные изыскания для строительства. Основные положения».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2.05.06-85* «Магистральные трубопроводы».</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2.05.13-90 «Нефтепродуктопроводы, прокладываемые на территории городов и других населенных пунктов».</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СНиП 2.06.01-86 «Гидротехнические сооружения. Основные положения проектирования».</w:t>
      </w:r>
    </w:p>
    <w:p w:rsidR="00467F1A" w:rsidRPr="00467F1A" w:rsidRDefault="00467F1A" w:rsidP="00467F1A">
      <w:pPr>
        <w:spacing w:after="0"/>
        <w:jc w:val="both"/>
        <w:rPr>
          <w:rFonts w:ascii="Times New Roman" w:hAnsi="Times New Roman" w:cs="Times New Roman"/>
          <w:sz w:val="20"/>
          <w:szCs w:val="20"/>
        </w:rPr>
      </w:pPr>
      <w:r w:rsidRPr="00467F1A">
        <w:rPr>
          <w:rFonts w:ascii="Times New Roman" w:hAnsi="Times New Roman" w:cs="Times New Roman"/>
          <w:sz w:val="20"/>
          <w:szCs w:val="20"/>
        </w:rPr>
        <w:t>Примечание: Кроме указанных в настоящем перечне документов, следует руководствоваться также другими федеральными, территориальными и производственно — отраслевыми нормативными документами, содержащими требования по проектированию раздела «Перечень основных факторов риска возникновения чрезвычайных ситуаций природного и техногенного характера», повышению безопасности объектов, эффективности защиты населения и территорий от ЧС техногенного, природного и военного характера.</w:t>
      </w:r>
    </w:p>
    <w:p w:rsidR="00467F1A" w:rsidRPr="00467F1A" w:rsidRDefault="00467F1A" w:rsidP="00467F1A">
      <w:pPr>
        <w:spacing w:after="0"/>
        <w:jc w:val="both"/>
        <w:rPr>
          <w:rFonts w:ascii="Times New Roman" w:hAnsi="Times New Roman" w:cs="Times New Roman"/>
          <w:sz w:val="20"/>
          <w:szCs w:val="20"/>
        </w:rPr>
      </w:pPr>
    </w:p>
    <w:p w:rsidR="00201A0D" w:rsidRDefault="00201A0D" w:rsidP="00467F1A">
      <w:pPr>
        <w:spacing w:after="0"/>
        <w:jc w:val="both"/>
        <w:rPr>
          <w:rFonts w:ascii="Times New Roman" w:hAnsi="Times New Roman" w:cs="Times New Roman"/>
          <w:sz w:val="20"/>
          <w:szCs w:val="20"/>
        </w:rPr>
      </w:pPr>
    </w:p>
    <w:p w:rsidR="0051398C" w:rsidRDefault="0051398C" w:rsidP="00467F1A">
      <w:pPr>
        <w:spacing w:after="0"/>
        <w:jc w:val="both"/>
        <w:rPr>
          <w:rFonts w:ascii="Times New Roman" w:hAnsi="Times New Roman" w:cs="Times New Roman"/>
          <w:sz w:val="20"/>
          <w:szCs w:val="20"/>
        </w:rPr>
      </w:pPr>
    </w:p>
    <w:p w:rsidR="0051398C" w:rsidRDefault="0051398C"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B612E4" w:rsidRDefault="00B612E4" w:rsidP="00467F1A">
      <w:pPr>
        <w:spacing w:after="0"/>
        <w:jc w:val="both"/>
        <w:rPr>
          <w:rFonts w:ascii="Times New Roman" w:hAnsi="Times New Roman" w:cs="Times New Roman"/>
          <w:sz w:val="20"/>
          <w:szCs w:val="20"/>
        </w:rPr>
      </w:pPr>
    </w:p>
    <w:p w:rsidR="0051398C" w:rsidRDefault="0051398C" w:rsidP="00467F1A">
      <w:pPr>
        <w:spacing w:after="0"/>
        <w:jc w:val="both"/>
        <w:rPr>
          <w:rFonts w:ascii="Times New Roman" w:hAnsi="Times New Roman" w:cs="Times New Roman"/>
          <w:sz w:val="20"/>
          <w:szCs w:val="20"/>
        </w:rPr>
      </w:pPr>
    </w:p>
    <w:p w:rsidR="0051398C" w:rsidRDefault="0051398C" w:rsidP="00467F1A">
      <w:pPr>
        <w:spacing w:after="0"/>
        <w:jc w:val="both"/>
        <w:rPr>
          <w:rFonts w:ascii="Times New Roman" w:hAnsi="Times New Roman" w:cs="Times New Roman"/>
          <w:sz w:val="20"/>
          <w:szCs w:val="20"/>
        </w:rPr>
      </w:pPr>
    </w:p>
    <w:p w:rsidR="0051398C" w:rsidRDefault="0051398C" w:rsidP="00467F1A">
      <w:pPr>
        <w:spacing w:after="0"/>
        <w:jc w:val="both"/>
        <w:rPr>
          <w:rFonts w:ascii="Times New Roman" w:hAnsi="Times New Roman" w:cs="Times New Roman"/>
          <w:sz w:val="20"/>
          <w:szCs w:val="20"/>
        </w:rPr>
      </w:pPr>
    </w:p>
    <w:p w:rsidR="0051398C" w:rsidRDefault="0051398C" w:rsidP="00467F1A">
      <w:pPr>
        <w:spacing w:after="0"/>
        <w:jc w:val="both"/>
        <w:rPr>
          <w:rFonts w:ascii="Times New Roman" w:hAnsi="Times New Roman" w:cs="Times New Roman"/>
          <w:sz w:val="20"/>
          <w:szCs w:val="20"/>
        </w:rPr>
      </w:pP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51398C" w:rsidRPr="00E9224F" w:rsidTr="00A51C94">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51398C" w:rsidRPr="00E9224F" w:rsidRDefault="0051398C" w:rsidP="00A51C94">
            <w:pPr>
              <w:pStyle w:val="a4"/>
              <w:spacing w:line="276" w:lineRule="auto"/>
              <w:jc w:val="left"/>
              <w:rPr>
                <w:rFonts w:ascii="Times New Roman" w:hAnsi="Times New Roman"/>
                <w:b/>
              </w:rPr>
            </w:pPr>
            <w:r w:rsidRPr="00E9224F">
              <w:rPr>
                <w:rFonts w:ascii="Times New Roman" w:hAnsi="Times New Roman"/>
                <w:b/>
              </w:rPr>
              <w:t>Едровский   вестник</w:t>
            </w:r>
          </w:p>
          <w:p w:rsidR="0051398C" w:rsidRPr="00E9224F" w:rsidRDefault="0051398C" w:rsidP="00A51C94">
            <w:pPr>
              <w:pStyle w:val="a4"/>
              <w:spacing w:line="276" w:lineRule="auto"/>
              <w:jc w:val="left"/>
              <w:rPr>
                <w:rFonts w:ascii="Times New Roman" w:hAnsi="Times New Roman"/>
                <w:lang w:eastAsia="ar-SA"/>
              </w:rPr>
            </w:pPr>
          </w:p>
        </w:tc>
        <w:tc>
          <w:tcPr>
            <w:tcW w:w="1597" w:type="pct"/>
            <w:tcBorders>
              <w:top w:val="thickThinSmallGap" w:sz="24" w:space="0" w:color="003366"/>
              <w:left w:val="nil"/>
              <w:bottom w:val="thinThickSmallGap" w:sz="24" w:space="0" w:color="003366"/>
              <w:right w:val="nil"/>
            </w:tcBorders>
            <w:hideMark/>
          </w:tcPr>
          <w:p w:rsidR="0051398C" w:rsidRPr="00E9224F" w:rsidRDefault="0051398C" w:rsidP="00A51C94">
            <w:pPr>
              <w:pStyle w:val="a4"/>
              <w:spacing w:line="276" w:lineRule="auto"/>
              <w:jc w:val="left"/>
              <w:rPr>
                <w:rFonts w:ascii="Times New Roman" w:hAnsi="Times New Roman"/>
                <w:lang w:eastAsia="ar-SA"/>
              </w:rPr>
            </w:pPr>
            <w:r w:rsidRPr="00E9224F">
              <w:rPr>
                <w:rFonts w:ascii="Times New Roman" w:hAnsi="Times New Roman"/>
                <w:b/>
              </w:rPr>
              <w:t>Адрес редакции-издателя</w:t>
            </w:r>
            <w:r w:rsidRPr="00E9224F">
              <w:rPr>
                <w:rFonts w:ascii="Times New Roman" w:hAnsi="Times New Roman"/>
              </w:rPr>
              <w:t>: 175429</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с .Едрово, ул. Сосновая,  д. 54,</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Валдайского  района</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Новгородской области</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 xml:space="preserve">E-mail: </w:t>
            </w:r>
            <w:r w:rsidRPr="00E9224F">
              <w:rPr>
                <w:rFonts w:ascii="Times New Roman" w:hAnsi="Times New Roman"/>
                <w:lang w:val="en-US"/>
              </w:rPr>
              <w:t>edrpos</w:t>
            </w:r>
            <w:r w:rsidRPr="00E9224F">
              <w:rPr>
                <w:rFonts w:ascii="Times New Roman" w:hAnsi="Times New Roman"/>
              </w:rPr>
              <w:t>54@</w:t>
            </w:r>
            <w:r w:rsidRPr="00E9224F">
              <w:rPr>
                <w:rFonts w:ascii="Times New Roman" w:hAnsi="Times New Roman"/>
                <w:lang w:val="en-US"/>
              </w:rPr>
              <w:t>mail</w:t>
            </w:r>
            <w:r w:rsidRPr="00E9224F">
              <w:rPr>
                <w:rFonts w:ascii="Times New Roman" w:hAnsi="Times New Roman"/>
              </w:rPr>
              <w:t>.</w:t>
            </w:r>
            <w:r w:rsidRPr="00E9224F">
              <w:rPr>
                <w:rFonts w:ascii="Times New Roman" w:hAnsi="Times New Roman"/>
                <w:lang w:val="en-US"/>
              </w:rPr>
              <w:t>ru</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b/>
              </w:rPr>
              <w:t xml:space="preserve">Главный редактор: </w:t>
            </w:r>
            <w:r w:rsidRPr="00E9224F">
              <w:rPr>
                <w:rFonts w:ascii="Times New Roman" w:hAnsi="Times New Roman"/>
              </w:rPr>
              <w:t xml:space="preserve"> </w:t>
            </w:r>
            <w:r>
              <w:rPr>
                <w:rFonts w:ascii="Times New Roman" w:hAnsi="Times New Roman"/>
              </w:rPr>
              <w:t>Н.И.Егорова</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Телефон: 51-534</w:t>
            </w:r>
          </w:p>
          <w:p w:rsidR="0051398C" w:rsidRPr="00E9224F" w:rsidRDefault="0051398C" w:rsidP="00A51C94">
            <w:pPr>
              <w:pStyle w:val="a4"/>
              <w:spacing w:line="276" w:lineRule="auto"/>
              <w:jc w:val="left"/>
              <w:rPr>
                <w:rFonts w:ascii="Times New Roman" w:hAnsi="Times New Roman"/>
                <w:lang w:eastAsia="ar-SA"/>
              </w:rPr>
            </w:pPr>
            <w:r>
              <w:rPr>
                <w:rFonts w:ascii="Times New Roman" w:hAnsi="Times New Roman"/>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51398C" w:rsidRPr="00E9224F" w:rsidRDefault="0051398C" w:rsidP="00A51C94">
            <w:pPr>
              <w:pStyle w:val="a4"/>
              <w:spacing w:line="276" w:lineRule="auto"/>
              <w:jc w:val="left"/>
              <w:rPr>
                <w:rFonts w:ascii="Times New Roman" w:hAnsi="Times New Roman"/>
              </w:rPr>
            </w:pP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Тираж 15 экземпляров</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b/>
              </w:rPr>
              <w:t>Учредитель</w:t>
            </w:r>
            <w:r w:rsidRPr="00E9224F">
              <w:rPr>
                <w:rFonts w:ascii="Times New Roman" w:hAnsi="Times New Roman"/>
              </w:rPr>
              <w:t xml:space="preserve">: Совет депутатов Едровского </w:t>
            </w: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сельского поселения</w:t>
            </w:r>
          </w:p>
          <w:p w:rsidR="0051398C" w:rsidRPr="00E9224F" w:rsidRDefault="0051398C" w:rsidP="00A51C94">
            <w:pPr>
              <w:pStyle w:val="a4"/>
              <w:spacing w:line="276" w:lineRule="auto"/>
              <w:jc w:val="left"/>
              <w:rPr>
                <w:rFonts w:ascii="Times New Roman" w:hAnsi="Times New Roman"/>
              </w:rPr>
            </w:pPr>
          </w:p>
          <w:p w:rsidR="0051398C" w:rsidRPr="00E9224F" w:rsidRDefault="0051398C" w:rsidP="00A51C94">
            <w:pPr>
              <w:pStyle w:val="a4"/>
              <w:spacing w:line="276" w:lineRule="auto"/>
              <w:jc w:val="left"/>
              <w:rPr>
                <w:rFonts w:ascii="Times New Roman" w:hAnsi="Times New Roman"/>
              </w:rPr>
            </w:pPr>
            <w:r w:rsidRPr="00E9224F">
              <w:rPr>
                <w:rFonts w:ascii="Times New Roman" w:hAnsi="Times New Roman"/>
              </w:rPr>
              <w:t>Материалы этого выпуска публикуются  бесплатно</w:t>
            </w:r>
          </w:p>
          <w:p w:rsidR="0051398C" w:rsidRPr="00E9224F" w:rsidRDefault="0051398C" w:rsidP="00A51C94">
            <w:pPr>
              <w:pStyle w:val="a4"/>
              <w:spacing w:line="276" w:lineRule="auto"/>
              <w:jc w:val="left"/>
              <w:rPr>
                <w:rFonts w:ascii="Times New Roman" w:hAnsi="Times New Roman"/>
              </w:rPr>
            </w:pPr>
          </w:p>
        </w:tc>
      </w:tr>
    </w:tbl>
    <w:p w:rsidR="0051398C" w:rsidRPr="00467F1A" w:rsidRDefault="0051398C" w:rsidP="00467F1A">
      <w:pPr>
        <w:spacing w:after="0"/>
        <w:jc w:val="both"/>
        <w:rPr>
          <w:rFonts w:ascii="Times New Roman" w:hAnsi="Times New Roman" w:cs="Times New Roman"/>
          <w:sz w:val="20"/>
          <w:szCs w:val="20"/>
        </w:rPr>
      </w:pPr>
    </w:p>
    <w:sectPr w:rsidR="0051398C" w:rsidRPr="00467F1A" w:rsidSect="00E94A14">
      <w:footerReference w:type="default" r:id="rId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54D" w:rsidRDefault="0045454D" w:rsidP="00467F1A">
      <w:pPr>
        <w:spacing w:after="0" w:line="240" w:lineRule="auto"/>
      </w:pPr>
      <w:r>
        <w:separator/>
      </w:r>
    </w:p>
  </w:endnote>
  <w:endnote w:type="continuationSeparator" w:id="1">
    <w:p w:rsidR="0045454D" w:rsidRDefault="0045454D" w:rsidP="00467F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23685"/>
    </w:sdtPr>
    <w:sdtContent>
      <w:p w:rsidR="003E53A7" w:rsidRDefault="003E53A7">
        <w:pPr>
          <w:pStyle w:val="a9"/>
          <w:jc w:val="center"/>
        </w:pPr>
        <w:fldSimple w:instr=" PAGE   \* MERGEFORMAT ">
          <w:r w:rsidR="00003829">
            <w:rPr>
              <w:noProof/>
            </w:rPr>
            <w:t>16</w:t>
          </w:r>
        </w:fldSimple>
      </w:p>
    </w:sdtContent>
  </w:sdt>
  <w:p w:rsidR="003E53A7" w:rsidRDefault="003E53A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54D" w:rsidRDefault="0045454D" w:rsidP="00467F1A">
      <w:pPr>
        <w:spacing w:after="0" w:line="240" w:lineRule="auto"/>
      </w:pPr>
      <w:r>
        <w:separator/>
      </w:r>
    </w:p>
  </w:footnote>
  <w:footnote w:type="continuationSeparator" w:id="1">
    <w:p w:rsidR="0045454D" w:rsidRDefault="0045454D" w:rsidP="00467F1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E6351"/>
    <w:rsid w:val="00003829"/>
    <w:rsid w:val="000E72D6"/>
    <w:rsid w:val="001B5D59"/>
    <w:rsid w:val="00201A0D"/>
    <w:rsid w:val="002B3371"/>
    <w:rsid w:val="003C0C73"/>
    <w:rsid w:val="003E53A7"/>
    <w:rsid w:val="0045454D"/>
    <w:rsid w:val="00467F1A"/>
    <w:rsid w:val="0051141B"/>
    <w:rsid w:val="0051398C"/>
    <w:rsid w:val="00515F88"/>
    <w:rsid w:val="00647538"/>
    <w:rsid w:val="00663504"/>
    <w:rsid w:val="006C4DDD"/>
    <w:rsid w:val="007A0E00"/>
    <w:rsid w:val="00A51C94"/>
    <w:rsid w:val="00B612E4"/>
    <w:rsid w:val="00D0491F"/>
    <w:rsid w:val="00DE6351"/>
    <w:rsid w:val="00E2329D"/>
    <w:rsid w:val="00E31434"/>
    <w:rsid w:val="00E94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A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DE6351"/>
    <w:rPr>
      <w:sz w:val="16"/>
      <w:szCs w:val="16"/>
    </w:rPr>
  </w:style>
  <w:style w:type="paragraph" w:styleId="a4">
    <w:name w:val="No Spacing"/>
    <w:link w:val="a3"/>
    <w:qFormat/>
    <w:rsid w:val="00DE6351"/>
    <w:pPr>
      <w:spacing w:after="0" w:line="240" w:lineRule="auto"/>
      <w:jc w:val="right"/>
    </w:pPr>
    <w:rPr>
      <w:sz w:val="16"/>
      <w:szCs w:val="16"/>
    </w:rPr>
  </w:style>
  <w:style w:type="paragraph" w:styleId="a5">
    <w:name w:val="header"/>
    <w:aliases w:val="ВерхКолонтитул, Знак5"/>
    <w:basedOn w:val="a"/>
    <w:link w:val="a6"/>
    <w:rsid w:val="00DE6351"/>
    <w:pPr>
      <w:widowControl w:val="0"/>
      <w:tabs>
        <w:tab w:val="center" w:pos="4677"/>
        <w:tab w:val="right" w:pos="9355"/>
      </w:tab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character" w:customStyle="1" w:styleId="a6">
    <w:name w:val="Верхний колонтитул Знак"/>
    <w:aliases w:val="ВерхКолонтитул Знак, Знак5 Знак"/>
    <w:basedOn w:val="a0"/>
    <w:link w:val="a5"/>
    <w:rsid w:val="00DE6351"/>
    <w:rPr>
      <w:rFonts w:ascii="Times New Roman" w:eastAsia="Times New Roman" w:hAnsi="Times New Roman" w:cs="Times New Roman"/>
      <w:color w:val="000000"/>
      <w:sz w:val="24"/>
      <w:szCs w:val="26"/>
      <w:lang w:eastAsia="ar-SA"/>
    </w:rPr>
  </w:style>
  <w:style w:type="paragraph" w:styleId="a7">
    <w:name w:val="Balloon Text"/>
    <w:basedOn w:val="a"/>
    <w:link w:val="a8"/>
    <w:uiPriority w:val="99"/>
    <w:semiHidden/>
    <w:unhideWhenUsed/>
    <w:rsid w:val="00201A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1A0D"/>
    <w:rPr>
      <w:rFonts w:ascii="Tahoma" w:hAnsi="Tahoma" w:cs="Tahoma"/>
      <w:sz w:val="16"/>
      <w:szCs w:val="16"/>
    </w:rPr>
  </w:style>
  <w:style w:type="paragraph" w:styleId="a9">
    <w:name w:val="footer"/>
    <w:basedOn w:val="a"/>
    <w:link w:val="aa"/>
    <w:uiPriority w:val="99"/>
    <w:unhideWhenUsed/>
    <w:rsid w:val="00467F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7F1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rovoadm.ru/documents/2492.html" TargetMode="External"/><Relationship Id="rId18" Type="http://schemas.openxmlformats.org/officeDocument/2006/relationships/hyperlink" Target="http://edrovoadm.ru/documents/2438.html" TargetMode="External"/><Relationship Id="rId26" Type="http://schemas.openxmlformats.org/officeDocument/2006/relationships/hyperlink" Target="http://ru.wikipedia.org/wiki/2008_%D0%B3%D0%BE%D0%B4" TargetMode="External"/><Relationship Id="rId39" Type="http://schemas.openxmlformats.org/officeDocument/2006/relationships/hyperlink" Target="http://ru.wikipedia.org/wiki/%D0%A2%D0%B0%D0%B9%D0%B3%D0%B0" TargetMode="External"/><Relationship Id="rId21" Type="http://schemas.openxmlformats.org/officeDocument/2006/relationships/hyperlink" Target="http://ru.wikipedia.org/wiki/%D0%A0%D0%BE%D1%81%D1%81%D0%B8%D1%8F" TargetMode="External"/><Relationship Id="rId34" Type="http://schemas.openxmlformats.org/officeDocument/2006/relationships/hyperlink" Target="http://ru.wikipedia.org/wiki/%D0%9F%D0%BE%D0%BB%D0%B8%D1%81%D1%82%D1%8C_(%D0%BF%D1%80%D0%B8%D1%82%D0%BE%D0%BA_%D0%9B%D0%BE%D0%B2%D0%B0%D1%82%D0%B8)" TargetMode="External"/><Relationship Id="rId42" Type="http://schemas.openxmlformats.org/officeDocument/2006/relationships/hyperlink" Target="http://ru.wikipedia.org/wiki/%D0%A2%D0%BE%D1%80%D1%84" TargetMode="External"/><Relationship Id="rId47" Type="http://schemas.openxmlformats.org/officeDocument/2006/relationships/hyperlink" Target="http://ru.wikipedia.org/wiki/%D0%9D%D0%B5%D1%84%D1%82%D1%8C" TargetMode="External"/><Relationship Id="rId50" Type="http://schemas.openxmlformats.org/officeDocument/2006/relationships/chart" Target="charts/chart1.xml"/><Relationship Id="rId55" Type="http://schemas.openxmlformats.org/officeDocument/2006/relationships/image" Target="media/image1.png"/><Relationship Id="rId63" Type="http://schemas.openxmlformats.org/officeDocument/2006/relationships/chart" Target="charts/chart6.xml"/><Relationship Id="rId68" Type="http://schemas.openxmlformats.org/officeDocument/2006/relationships/image" Target="media/image6.jpeg"/><Relationship Id="rId76" Type="http://schemas.openxmlformats.org/officeDocument/2006/relationships/oleObject" Target="embeddings/oleObject3.bin"/><Relationship Id="rId7" Type="http://schemas.openxmlformats.org/officeDocument/2006/relationships/hyperlink" Target="http://edrovoadm.ru/documents/2521.html" TargetMode="External"/><Relationship Id="rId71"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edrovoadm.ru/documents/2440.html" TargetMode="External"/><Relationship Id="rId29" Type="http://schemas.openxmlformats.org/officeDocument/2006/relationships/hyperlink" Target="http://ru.wikipedia.org/w/index.php?title=%D0%A2%D0%B8%D1%85%D0%B2%D0%B8%D0%BD%D1%81%D0%BA%D0%B0%D1%8F_%D1%85%D0%BE%D0%BB%D0%BC%D0%B8%D1%81%D1%82%D0%BE-%D0%BC%D0%BE%D1%80%D0%B5%D0%BD%D0%BD%D0%B0%D1%8F_%D0%B3%D1%80%D1%8F%D0%B4%D0%B0&amp;action=edit&amp;redlink=1" TargetMode="External"/><Relationship Id="rId11" Type="http://schemas.openxmlformats.org/officeDocument/2006/relationships/hyperlink" Target="http://edrovoadm.ru/documents/2496.html" TargetMode="External"/><Relationship Id="rId24" Type="http://schemas.openxmlformats.org/officeDocument/2006/relationships/hyperlink" Target="http://ru.wikipedia.org/wiki/%D0%92%D0%B5%D0%BB%D0%B8%D0%BA%D0%B8%D0%B9_%D0%9D%D0%BE%D0%B2%D0%B3%D0%BE%D1%80%D0%BE%D0%B4" TargetMode="External"/><Relationship Id="rId32" Type="http://schemas.openxmlformats.org/officeDocument/2006/relationships/hyperlink" Target="http://ru.wikipedia.org/wiki/%D0%9B%D0%BE%D0%B2%D0%B0%D1%82%D1%8C_(%D1%80%D0%B5%D0%BA%D0%B0)" TargetMode="External"/><Relationship Id="rId37" Type="http://schemas.openxmlformats.org/officeDocument/2006/relationships/hyperlink" Target="http://ru.wikipedia.org/wiki/%D0%92%D0%B5%D0%BB%D1%8C%D1%91" TargetMode="External"/><Relationship Id="rId40" Type="http://schemas.openxmlformats.org/officeDocument/2006/relationships/hyperlink" Target="http://ru.wikipedia.org/wiki/%D0%92%D0%B0%D0%BB%D0%B4%D0%B0%D0%B9%D1%81%D0%BA%D0%B8%D0%B9_%D0%BD%D0%B0%D1%86%D0%B8%D0%BE%D0%BD%D0%B0%D0%BB%D1%8C%D0%BD%D1%8B%D0%B9_%D0%BF%D0%B0%D1%80%D0%BA" TargetMode="External"/><Relationship Id="rId45" Type="http://schemas.openxmlformats.org/officeDocument/2006/relationships/hyperlink" Target="http://ru.wikipedia.org/wiki/%D0%91%D0%BE%D0%BA%D1%81%D0%B8%D1%82%D1%8B" TargetMode="External"/><Relationship Id="rId53" Type="http://schemas.openxmlformats.org/officeDocument/2006/relationships/hyperlink" Target="http://www.gks.ru/dbscripts/munst/munst.htm" TargetMode="External"/><Relationship Id="rId58" Type="http://schemas.openxmlformats.org/officeDocument/2006/relationships/hyperlink" Target="http://www.gks.ru/dbscripts/munst/munst.htm" TargetMode="External"/><Relationship Id="rId66" Type="http://schemas.openxmlformats.org/officeDocument/2006/relationships/image" Target="media/image4.png"/><Relationship Id="rId74" Type="http://schemas.openxmlformats.org/officeDocument/2006/relationships/image" Target="media/image11.wmf"/><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chart" Target="charts/chart4.xml"/><Relationship Id="rId10" Type="http://schemas.openxmlformats.org/officeDocument/2006/relationships/hyperlink" Target="http://edrovoadm.ru/documents/2518.html" TargetMode="External"/><Relationship Id="rId19" Type="http://schemas.openxmlformats.org/officeDocument/2006/relationships/hyperlink" Target="http://edrovoadm.ru/documents/2371.html" TargetMode="External"/><Relationship Id="rId31" Type="http://schemas.openxmlformats.org/officeDocument/2006/relationships/hyperlink" Target="http://ru.wikipedia.org/wiki/%D0%9C%D1%81%D1%82%D0%B0_(%D1%80%D0%B5%D0%BA%D0%B0)" TargetMode="External"/><Relationship Id="rId44" Type="http://schemas.openxmlformats.org/officeDocument/2006/relationships/hyperlink" Target="http://ru.wikipedia.org/wiki/%D0%93%D0%BB%D0%B8%D0%BD%D0%B0" TargetMode="External"/><Relationship Id="rId52" Type="http://schemas.openxmlformats.org/officeDocument/2006/relationships/chart" Target="charts/chart2.xml"/><Relationship Id="rId60" Type="http://schemas.openxmlformats.org/officeDocument/2006/relationships/hyperlink" Target="http://www.gks.ru/dbscripts/munst/munst.htm" TargetMode="External"/><Relationship Id="rId65" Type="http://schemas.openxmlformats.org/officeDocument/2006/relationships/chart" Target="charts/chart7.xml"/><Relationship Id="rId73" Type="http://schemas.openxmlformats.org/officeDocument/2006/relationships/oleObject" Target="embeddings/oleObject1.bin"/><Relationship Id="rId78"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edrovoadm.ru/documents/2519.html" TargetMode="External"/><Relationship Id="rId14" Type="http://schemas.openxmlformats.org/officeDocument/2006/relationships/hyperlink" Target="http://edrovoadm.ru/documents/2484.html" TargetMode="External"/><Relationship Id="rId22" Type="http://schemas.openxmlformats.org/officeDocument/2006/relationships/hyperlink" Target="http://ru.wikipedia.org/wiki/%D0%A1%D0%B5%D0%B2%D0%B5%D1%80%D0%BE-%D0%97%D0%B0%D0%BF%D0%B0%D0%B4%D0%BD%D1%8B%D0%B9_%D1%84%D0%B5%D0%B4%D0%B5%D1%80%D0%B0%D0%BB%D1%8C%D0%BD%D1%8B%D0%B9_%D0%BE%D0%BA%D1%80%D1%83%D0%B3" TargetMode="External"/><Relationship Id="rId27" Type="http://schemas.openxmlformats.org/officeDocument/2006/relationships/hyperlink" Target="http://ru.wikipedia.org/w/index.php?title=%D0%9F%D1%80%D0%B8%D0%B8%D0%BB%D1%8C%D0%BC%D0%B5%D0%BD%D1%81%D0%BA%D0%B0%D1%8F_%D0%BD%D0%B8%D0%B7%D0%BC%D0%B5%D0%BD%D0%BD%D0%BE%D1%81%D1%82%D1%8C&amp;action=edit&amp;redlink=1" TargetMode="External"/><Relationship Id="rId30" Type="http://schemas.openxmlformats.org/officeDocument/2006/relationships/hyperlink" Target="http://ru.wikipedia.org/wiki/%D0%92%D0%BE%D0%BB%D1%85%D0%BE%D0%B2_(%D1%80%D0%B5%D0%BA%D0%B0)" TargetMode="External"/><Relationship Id="rId35" Type="http://schemas.openxmlformats.org/officeDocument/2006/relationships/hyperlink" Target="http://ru.wikipedia.org/wiki/%D0%98%D0%BB%D1%8C%D0%BC%D0%B5%D0%BD%D1%8C" TargetMode="External"/><Relationship Id="rId43" Type="http://schemas.openxmlformats.org/officeDocument/2006/relationships/hyperlink" Target="http://ru.wikipedia.org/wiki/%D0%91%D1%83%D1%80%D1%8B%D0%B9_%D1%83%D0%B3%D0%BE%D0%BB%D1%8C" TargetMode="External"/><Relationship Id="rId48" Type="http://schemas.openxmlformats.org/officeDocument/2006/relationships/hyperlink" Target="http://ru.wikipedia.org/wiki/%D0%90%D0%BB%D0%BC%D0%B0%D0%B7" TargetMode="External"/><Relationship Id="rId56" Type="http://schemas.openxmlformats.org/officeDocument/2006/relationships/image" Target="media/image2.png"/><Relationship Id="rId64" Type="http://schemas.openxmlformats.org/officeDocument/2006/relationships/hyperlink" Target="https://www.railwagonlocation.com/ru/railway-stations-list.php?station_id=19176" TargetMode="External"/><Relationship Id="rId69" Type="http://schemas.openxmlformats.org/officeDocument/2006/relationships/image" Target="media/image7.png"/><Relationship Id="rId77" Type="http://schemas.openxmlformats.org/officeDocument/2006/relationships/oleObject" Target="embeddings/oleObject4.bin"/><Relationship Id="rId8" Type="http://schemas.openxmlformats.org/officeDocument/2006/relationships/hyperlink" Target="http://edrovoadm.ru/documents/2520.html" TargetMode="External"/><Relationship Id="rId51" Type="http://schemas.openxmlformats.org/officeDocument/2006/relationships/hyperlink" Target="http://www.gks.ru/dbscripts/munst/munst.htm" TargetMode="External"/><Relationship Id="rId72" Type="http://schemas.openxmlformats.org/officeDocument/2006/relationships/image" Target="media/image10.wmf"/><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edrovoadm.ru/documents/2493.html" TargetMode="External"/><Relationship Id="rId17" Type="http://schemas.openxmlformats.org/officeDocument/2006/relationships/hyperlink" Target="http://edrovoadm.ru/documents/2439.html" TargetMode="External"/><Relationship Id="rId25" Type="http://schemas.openxmlformats.org/officeDocument/2006/relationships/hyperlink" Target="http://ru.wikipedia.org/wiki/1_%D1%8F%D0%BD%D0%B2%D0%B0%D1%80%D1%8F" TargetMode="External"/><Relationship Id="rId33" Type="http://schemas.openxmlformats.org/officeDocument/2006/relationships/hyperlink" Target="http://ru.wikipedia.org/wiki/%D0%A8%D0%B5%D0%BB%D0%BE%D0%BD%D1%8C_(%D1%80%D0%B5%D0%BA%D0%B0)" TargetMode="External"/><Relationship Id="rId38" Type="http://schemas.openxmlformats.org/officeDocument/2006/relationships/hyperlink" Target="http://ru.wikipedia.org/wiki/%D0%A1%D0%B5%D0%BB%D0%B8%D0%B3%D0%B5%D1%80" TargetMode="External"/><Relationship Id="rId46" Type="http://schemas.openxmlformats.org/officeDocument/2006/relationships/hyperlink" Target="http://ru.wikipedia.org/wiki/%D0%A0%D0%B0%D0%B4%D0%BE%D0%BD" TargetMode="External"/><Relationship Id="rId59" Type="http://schemas.openxmlformats.org/officeDocument/2006/relationships/image" Target="media/image3.jpeg"/><Relationship Id="rId67" Type="http://schemas.openxmlformats.org/officeDocument/2006/relationships/image" Target="media/image5.jpeg"/><Relationship Id="rId20" Type="http://schemas.openxmlformats.org/officeDocument/2006/relationships/hyperlink" Target="http://edrovoadm.ru/documents/2335.html" TargetMode="External"/><Relationship Id="rId41" Type="http://schemas.openxmlformats.org/officeDocument/2006/relationships/hyperlink" Target="http://ru.wikipedia.org/wiki/%D0%A0%D0%B4%D0%B5%D0%B9%D1%81%D0%BA%D0%B8%D0%B9_%D0%B7%D0%B0%D0%BF%D0%BE%D0%B2%D0%B5%D0%B4%D0%BD%D0%B8%D0%BA" TargetMode="External"/><Relationship Id="rId54" Type="http://schemas.openxmlformats.org/officeDocument/2006/relationships/chart" Target="charts/chart3.xml"/><Relationship Id="rId62" Type="http://schemas.openxmlformats.org/officeDocument/2006/relationships/chart" Target="charts/chart5.xml"/><Relationship Id="rId70" Type="http://schemas.openxmlformats.org/officeDocument/2006/relationships/image" Target="media/image8.jpeg"/><Relationship Id="rId75"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hyperlink" Target="http://edrovoadm.ru/documents/2522.html" TargetMode="External"/><Relationship Id="rId15" Type="http://schemas.openxmlformats.org/officeDocument/2006/relationships/hyperlink" Target="http://edrovoadm.ru/documents/2483.html" TargetMode="External"/><Relationship Id="rId23" Type="http://schemas.openxmlformats.org/officeDocument/2006/relationships/hyperlink" Target="http://ru.wikipedia.org/wiki/%D0%90%D0%B4%D0%BC%D0%B8%D0%BD%D0%B8%D1%81%D1%82%D1%80%D0%B0%D1%82%D0%B8%D0%B2%D0%BD%D1%8B%D0%B9_%D1%86%D0%B5%D0%BD%D1%82%D1%80" TargetMode="External"/><Relationship Id="rId28" Type="http://schemas.openxmlformats.org/officeDocument/2006/relationships/hyperlink" Target="http://ru.wikipedia.org/wiki/%D0%92%D0%B0%D0%BB%D0%B4%D0%B0%D0%B9%D1%81%D0%BA%D0%B0%D1%8F_%D0%B2%D0%BE%D0%B7%D0%B2%D1%8B%D1%88%D0%B5%D0%BD%D0%BD%D0%BE%D1%81%D1%82%D1%8C" TargetMode="External"/><Relationship Id="rId36" Type="http://schemas.openxmlformats.org/officeDocument/2006/relationships/hyperlink" Target="http://ru.wikipedia.org/wiki/%D0%92%D0%B0%D0%BB%D0%B4%D0%B0%D0%B9%D1%81%D0%BA%D0%BE%D0%B5_(%D0%BE%D0%B7%D0%B5%D1%80%D0%BE)" TargetMode="External"/><Relationship Id="rId49" Type="http://schemas.openxmlformats.org/officeDocument/2006/relationships/hyperlink" Target="http://ru.wikipedia.org/wiki/%D0%9C%D0%B0%D1%80%D0%B3%D0%B0%D0%BD%D0%B5%D1%86" TargetMode="External"/><Relationship Id="rId57" Type="http://schemas.openxmlformats.org/officeDocument/2006/relationships/hyperlink" Target="http://www.gks.ru/dbscripts/munst/munst.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43;&#1088;&#1086;&#1079;&#1080;&#1085;&#1072;\&#1055;&#1056;&#1054;&#1045;&#1050;&#1058;&#1067;\&#1053;&#1086;&#1074;&#1075;&#1086;&#1088;&#1086;&#1076;&#1089;&#1082;&#1072;&#1103;\&#1042;&#1072;&#1083;&#1076;&#1072;&#1081;&#1089;&#1082;&#1080;&#1081;%20&#1088;&#1072;&#1081;&#1086;&#1085;\&#1045;&#1076;&#1088;&#1086;&#1074;&#1089;&#1082;&#1086;&#1077;%20&#1057;&#1055;\&#1043;&#1045;&#1053;&#1045;&#1056;&#1040;&#1051;&#1068;&#1053;&#1067;&#1049;%20&#1055;&#1051;&#1040;&#1053;%202014\&#1056;&#1072;&#1089;&#1095;&#1077;&#1090;%20&#1045;&#1076;&#1088;&#1086;&#1074;&#1089;&#1082;&#1086;&#1077;%20&#1084;&#1086;&#107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43;&#1088;&#1086;&#1079;&#1080;&#1085;&#1072;\&#1055;&#1056;&#1054;&#1045;&#1050;&#1058;&#1067;\&#1053;&#1086;&#1074;&#1075;&#1086;&#1088;&#1086;&#1076;&#1089;&#1082;&#1072;&#1103;\&#1042;&#1072;&#1083;&#1076;&#1072;&#1081;&#1089;&#1082;&#1080;&#1081;%20&#1088;&#1072;&#1081;&#1086;&#1085;\&#1045;&#1076;&#1088;&#1086;&#1074;&#1089;&#1082;&#1086;&#1077;%20&#1057;&#1055;\&#1043;&#1045;&#1053;&#1045;&#1056;&#1040;&#1051;&#1068;&#1053;&#1067;&#1049;%20&#1055;&#1051;&#1040;&#1053;%202014\&#1056;&#1072;&#1089;&#1095;&#1077;&#1090;%20&#1045;&#1076;&#1088;&#1086;&#1074;&#1089;&#1082;&#1086;&#1077;%20&#1084;&#1086;&#107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2;&#1072;&#1083;&#1076;&#1072;&#1081;&#1089;&#1082;&#1080;&#1081;%20&#1088;&#1072;&#1081;&#1086;&#1085;\&#1045;&#1076;&#1088;&#1086;&#1074;&#1089;&#1082;&#1086;&#1077;%20&#1057;&#1055;\&#1056;&#1072;&#1089;&#1095;&#1077;&#1090;%20&#1045;&#1076;&#1088;&#1086;&#1074;&#1089;&#1082;&#1086;&#1077;%2019.09.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2;&#1072;&#1083;&#1076;&#1072;&#1081;&#1089;&#1082;&#1080;&#1081;%20&#1088;&#1072;&#1081;&#1086;&#1085;\&#1045;&#1076;&#1088;&#1086;&#1074;&#1089;&#1082;&#1086;&#1077;%20&#1057;&#1055;\&#1056;&#1072;&#1089;&#1095;&#1077;&#1090;%20&#1045;&#1076;&#1088;&#1086;&#1074;&#1089;&#1082;&#1086;&#1077;%2019.09.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42;&#1072;&#1083;&#1076;&#1072;&#1081;&#1089;&#1082;&#1080;&#1081;%20&#1088;&#1072;&#1081;&#1086;&#1085;\&#1045;&#1076;&#1088;&#1086;&#1074;&#1089;&#1082;&#1086;&#1077;%20&#1057;&#1055;\&#1056;&#1072;&#1089;&#1095;&#1077;&#1090;%20&#1045;&#1076;&#1088;&#1086;&#1074;&#1089;&#1082;&#1086;&#1077;%2019.09.1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43;&#1088;&#1086;&#1079;&#1080;&#1085;&#1072;\&#1055;&#1056;&#1054;&#1045;&#1050;&#1058;&#1067;\&#1053;&#1086;&#1074;&#1075;&#1086;&#1088;&#1086;&#1076;&#1089;&#1082;&#1072;&#1103;\&#1042;&#1072;&#1083;&#1076;&#1072;&#1081;&#1089;&#1082;&#1080;&#1081;%20&#1088;&#1072;&#1081;&#1086;&#1085;\&#1045;&#1076;&#1088;&#1086;&#1074;&#1089;&#1082;&#1086;&#1077;%20&#1057;&#1055;\&#1043;&#1045;&#1053;&#1045;&#1056;&#1040;&#1051;&#1068;&#1053;&#1067;&#1049;%20&#1055;&#1051;&#1040;&#1053;%202014\&#1056;&#1072;&#1089;&#1095;&#1077;&#1090;%20&#1045;&#1076;&#1088;&#1086;&#1074;&#1089;&#1082;&#1086;&#1077;%20&#1084;&#1086;&#107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045454545454539"/>
          <c:y val="0.28795811518324704"/>
          <c:w val="0.57386363636363769"/>
          <c:h val="0.52879581151832677"/>
        </c:manualLayout>
      </c:layout>
      <c:radarChart>
        <c:radarStyle val="marker"/>
        <c:ser>
          <c:idx val="0"/>
          <c:order val="0"/>
          <c:tx>
            <c:strRef>
              <c:f>Лист1!$B$22</c:f>
              <c:strCache>
                <c:ptCount val="1"/>
                <c:pt idx="0">
                  <c:v>год</c:v>
                </c:pt>
              </c:strCache>
            </c:strRef>
          </c:tx>
          <c:spPr>
            <a:ln w="25401">
              <a:solidFill>
                <a:srgbClr val="FF0000"/>
              </a:solidFill>
              <a:prstDash val="solid"/>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Лист1!$C$22:$J$22</c:f>
              <c:numCache>
                <c:formatCode>General</c:formatCode>
                <c:ptCount val="8"/>
                <c:pt idx="0">
                  <c:v>4</c:v>
                </c:pt>
                <c:pt idx="1">
                  <c:v>5</c:v>
                </c:pt>
                <c:pt idx="2">
                  <c:v>9</c:v>
                </c:pt>
                <c:pt idx="3">
                  <c:v>10</c:v>
                </c:pt>
                <c:pt idx="4">
                  <c:v>14</c:v>
                </c:pt>
                <c:pt idx="5">
                  <c:v>22</c:v>
                </c:pt>
                <c:pt idx="6">
                  <c:v>25</c:v>
                </c:pt>
                <c:pt idx="7">
                  <c:v>8</c:v>
                </c:pt>
              </c:numCache>
            </c:numRef>
          </c:val>
        </c:ser>
        <c:ser>
          <c:idx val="1"/>
          <c:order val="1"/>
          <c:tx>
            <c:strRef>
              <c:f>Лист1!$B$23</c:f>
              <c:strCache>
                <c:ptCount val="1"/>
                <c:pt idx="0">
                  <c:v>холодный период</c:v>
                </c:pt>
              </c:strCache>
            </c:strRef>
          </c:tx>
          <c:spPr>
            <a:ln w="25401">
              <a:solidFill>
                <a:srgbClr val="0000FF"/>
              </a:solidFill>
              <a:prstDash val="lgDash"/>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Лист1!$C$23:$J$23</c:f>
              <c:numCache>
                <c:formatCode>General</c:formatCode>
                <c:ptCount val="8"/>
                <c:pt idx="0">
                  <c:v>5</c:v>
                </c:pt>
                <c:pt idx="1">
                  <c:v>6</c:v>
                </c:pt>
                <c:pt idx="2">
                  <c:v>7</c:v>
                </c:pt>
                <c:pt idx="3">
                  <c:v>7</c:v>
                </c:pt>
                <c:pt idx="4">
                  <c:v>12</c:v>
                </c:pt>
                <c:pt idx="5">
                  <c:v>20</c:v>
                </c:pt>
                <c:pt idx="6">
                  <c:v>27</c:v>
                </c:pt>
                <c:pt idx="7">
                  <c:v>10</c:v>
                </c:pt>
              </c:numCache>
            </c:numRef>
          </c:val>
        </c:ser>
        <c:ser>
          <c:idx val="2"/>
          <c:order val="2"/>
          <c:tx>
            <c:strRef>
              <c:f>Лист1!$B$24</c:f>
              <c:strCache>
                <c:ptCount val="1"/>
                <c:pt idx="0">
                  <c:v>теплый период</c:v>
                </c:pt>
              </c:strCache>
            </c:strRef>
          </c:tx>
          <c:spPr>
            <a:ln w="25401">
              <a:solidFill>
                <a:srgbClr val="339966"/>
              </a:solidFill>
              <a:prstDash val="lgDashDot"/>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Лист1!$C$24:$J$24</c:f>
              <c:numCache>
                <c:formatCode>General</c:formatCode>
                <c:ptCount val="8"/>
                <c:pt idx="0">
                  <c:v>2</c:v>
                </c:pt>
                <c:pt idx="1">
                  <c:v>4</c:v>
                </c:pt>
                <c:pt idx="2">
                  <c:v>10</c:v>
                </c:pt>
                <c:pt idx="3">
                  <c:v>13</c:v>
                </c:pt>
                <c:pt idx="4">
                  <c:v>15</c:v>
                </c:pt>
                <c:pt idx="5">
                  <c:v>23</c:v>
                </c:pt>
                <c:pt idx="6">
                  <c:v>24</c:v>
                </c:pt>
                <c:pt idx="7">
                  <c:v>6</c:v>
                </c:pt>
              </c:numCache>
            </c:numRef>
          </c:val>
        </c:ser>
        <c:axId val="115320320"/>
        <c:axId val="115324032"/>
      </c:radarChart>
      <c:catAx>
        <c:axId val="115320320"/>
        <c:scaling>
          <c:orientation val="minMax"/>
        </c:scaling>
        <c:axPos val="b"/>
        <c:majorGridlines/>
        <c:numFmt formatCode="General" sourceLinked="1"/>
        <c:tickLblPos val="nextTo"/>
        <c:txPr>
          <a:bodyPr rot="0" vert="horz"/>
          <a:lstStyle/>
          <a:p>
            <a:pPr>
              <a:defRPr sz="800" b="0" i="0" u="none" strike="noStrike" baseline="0">
                <a:solidFill>
                  <a:srgbClr val="000000"/>
                </a:solidFill>
                <a:latin typeface="Arial Cyr"/>
                <a:ea typeface="Arial Cyr"/>
                <a:cs typeface="Arial Cyr"/>
              </a:defRPr>
            </a:pPr>
            <a:endParaRPr lang="ru-RU"/>
          </a:p>
        </c:txPr>
        <c:crossAx val="115324032"/>
        <c:crosses val="autoZero"/>
        <c:lblAlgn val="ctr"/>
        <c:lblOffset val="100"/>
      </c:catAx>
      <c:valAx>
        <c:axId val="115324032"/>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15320320"/>
        <c:crosses val="autoZero"/>
        <c:crossBetween val="between"/>
      </c:valAx>
      <c:spPr>
        <a:noFill/>
        <a:ln w="25401">
          <a:noFill/>
        </a:ln>
      </c:spPr>
    </c:plotArea>
    <c:plotVisOnly val="1"/>
    <c:dispBlanksAs val="gap"/>
  </c:chart>
  <c:spPr>
    <a:solidFill>
      <a:srgbClr val="FFFFFF"/>
    </a:solidFill>
    <a:ln>
      <a:noFill/>
    </a:ln>
  </c:spPr>
  <c:txPr>
    <a:bodyPr/>
    <a:lstStyle/>
    <a:p>
      <a:pPr>
        <a:defRPr sz="3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Лист4!$A$8</c:f>
              <c:strCache>
                <c:ptCount val="1"/>
                <c:pt idx="0">
                  <c:v>численность жителей, чел</c:v>
                </c:pt>
              </c:strCache>
            </c:strRef>
          </c:tx>
          <c:cat>
            <c:numRef>
              <c:f>Лист4!$B$7:$I$7</c:f>
              <c:numCache>
                <c:formatCode>General</c:formatCode>
                <c:ptCount val="8"/>
                <c:pt idx="0">
                  <c:v>2004</c:v>
                </c:pt>
                <c:pt idx="1">
                  <c:v>2005</c:v>
                </c:pt>
                <c:pt idx="2">
                  <c:v>2006</c:v>
                </c:pt>
                <c:pt idx="3">
                  <c:v>2007</c:v>
                </c:pt>
                <c:pt idx="4">
                  <c:v>2008</c:v>
                </c:pt>
                <c:pt idx="5">
                  <c:v>2010</c:v>
                </c:pt>
                <c:pt idx="6">
                  <c:v>2011</c:v>
                </c:pt>
                <c:pt idx="7">
                  <c:v>2012</c:v>
                </c:pt>
              </c:numCache>
            </c:numRef>
          </c:cat>
          <c:val>
            <c:numRef>
              <c:f>Лист4!$B$8:$I$8</c:f>
              <c:numCache>
                <c:formatCode>General</c:formatCode>
                <c:ptCount val="8"/>
                <c:pt idx="0">
                  <c:v>2213</c:v>
                </c:pt>
                <c:pt idx="1">
                  <c:v>2220</c:v>
                </c:pt>
                <c:pt idx="2">
                  <c:v>2157</c:v>
                </c:pt>
                <c:pt idx="3">
                  <c:v>2261</c:v>
                </c:pt>
                <c:pt idx="4">
                  <c:v>2224</c:v>
                </c:pt>
                <c:pt idx="5">
                  <c:v>1767</c:v>
                </c:pt>
                <c:pt idx="6">
                  <c:v>1707</c:v>
                </c:pt>
                <c:pt idx="7">
                  <c:v>1715</c:v>
                </c:pt>
              </c:numCache>
            </c:numRef>
          </c:val>
        </c:ser>
        <c:marker val="1"/>
        <c:axId val="115330048"/>
        <c:axId val="115387392"/>
      </c:lineChart>
      <c:catAx>
        <c:axId val="115330048"/>
        <c:scaling>
          <c:orientation val="minMax"/>
        </c:scaling>
        <c:axPos val="b"/>
        <c:numFmt formatCode="General" sourceLinked="1"/>
        <c:majorTickMark val="none"/>
        <c:tickLblPos val="nextTo"/>
        <c:crossAx val="115387392"/>
        <c:crosses val="autoZero"/>
        <c:auto val="1"/>
        <c:lblAlgn val="ctr"/>
        <c:lblOffset val="100"/>
      </c:catAx>
      <c:valAx>
        <c:axId val="115387392"/>
        <c:scaling>
          <c:orientation val="minMax"/>
        </c:scaling>
        <c:axPos val="l"/>
        <c:majorGridlines/>
        <c:title>
          <c:tx>
            <c:rich>
              <a:bodyPr/>
              <a:lstStyle/>
              <a:p>
                <a:pPr>
                  <a:defRPr/>
                </a:pPr>
                <a:r>
                  <a:rPr lang="ru-RU"/>
                  <a:t>численность жителей, чел</a:t>
                </a:r>
              </a:p>
            </c:rich>
          </c:tx>
          <c:layout>
            <c:manualLayout>
              <c:xMode val="edge"/>
              <c:yMode val="edge"/>
              <c:x val="0.20949263502454993"/>
              <c:y val="0.18803222513852441"/>
            </c:manualLayout>
          </c:layout>
        </c:title>
        <c:numFmt formatCode="General" sourceLinked="1"/>
        <c:majorTickMark val="none"/>
        <c:tickLblPos val="nextTo"/>
        <c:crossAx val="115330048"/>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Лист4!$D$52</c:f>
              <c:strCache>
                <c:ptCount val="1"/>
                <c:pt idx="0">
                  <c:v>Родилось</c:v>
                </c:pt>
              </c:strCache>
            </c:strRef>
          </c:tx>
          <c:cat>
            <c:numRef>
              <c:f>Лист4!$E$51:$J$51</c:f>
              <c:numCache>
                <c:formatCode>General</c:formatCode>
                <c:ptCount val="6"/>
                <c:pt idx="0">
                  <c:v>2005</c:v>
                </c:pt>
                <c:pt idx="1">
                  <c:v>2006</c:v>
                </c:pt>
                <c:pt idx="2">
                  <c:v>2007</c:v>
                </c:pt>
                <c:pt idx="3">
                  <c:v>2008</c:v>
                </c:pt>
                <c:pt idx="4">
                  <c:v>2011</c:v>
                </c:pt>
                <c:pt idx="5">
                  <c:v>2012</c:v>
                </c:pt>
              </c:numCache>
            </c:numRef>
          </c:cat>
          <c:val>
            <c:numRef>
              <c:f>Лист4!$E$52:$J$52</c:f>
              <c:numCache>
                <c:formatCode>0.00</c:formatCode>
                <c:ptCount val="6"/>
                <c:pt idx="0">
                  <c:v>8.5585585585585573</c:v>
                </c:pt>
                <c:pt idx="1">
                  <c:v>5.0996754751970332</c:v>
                </c:pt>
                <c:pt idx="2">
                  <c:v>4.4228217602830604</c:v>
                </c:pt>
                <c:pt idx="3">
                  <c:v>6.2949640287769659</c:v>
                </c:pt>
                <c:pt idx="4">
                  <c:v>13.473930872876412</c:v>
                </c:pt>
                <c:pt idx="5">
                  <c:v>8.7463556851311601</c:v>
                </c:pt>
              </c:numCache>
            </c:numRef>
          </c:val>
        </c:ser>
        <c:ser>
          <c:idx val="1"/>
          <c:order val="1"/>
          <c:tx>
            <c:strRef>
              <c:f>Лист4!$D$53</c:f>
              <c:strCache>
                <c:ptCount val="1"/>
                <c:pt idx="0">
                  <c:v>Умерло</c:v>
                </c:pt>
              </c:strCache>
            </c:strRef>
          </c:tx>
          <c:cat>
            <c:numRef>
              <c:f>Лист4!$E$51:$J$51</c:f>
              <c:numCache>
                <c:formatCode>General</c:formatCode>
                <c:ptCount val="6"/>
                <c:pt idx="0">
                  <c:v>2005</c:v>
                </c:pt>
                <c:pt idx="1">
                  <c:v>2006</c:v>
                </c:pt>
                <c:pt idx="2">
                  <c:v>2007</c:v>
                </c:pt>
                <c:pt idx="3">
                  <c:v>2008</c:v>
                </c:pt>
                <c:pt idx="4">
                  <c:v>2011</c:v>
                </c:pt>
                <c:pt idx="5">
                  <c:v>2012</c:v>
                </c:pt>
              </c:numCache>
            </c:numRef>
          </c:cat>
          <c:val>
            <c:numRef>
              <c:f>Лист4!$E$53:$J$53</c:f>
              <c:numCache>
                <c:formatCode>0.00</c:formatCode>
                <c:ptCount val="6"/>
                <c:pt idx="0">
                  <c:v>15.315315315315322</c:v>
                </c:pt>
                <c:pt idx="1">
                  <c:v>13.908205841446453</c:v>
                </c:pt>
                <c:pt idx="2">
                  <c:v>17.691287041132242</c:v>
                </c:pt>
                <c:pt idx="3">
                  <c:v>17.535971223021591</c:v>
                </c:pt>
                <c:pt idx="4">
                  <c:v>38.664323374340952</c:v>
                </c:pt>
                <c:pt idx="5">
                  <c:v>36.734693877551017</c:v>
                </c:pt>
              </c:numCache>
            </c:numRef>
          </c:val>
        </c:ser>
        <c:ser>
          <c:idx val="2"/>
          <c:order val="2"/>
          <c:tx>
            <c:strRef>
              <c:f>Лист4!$D$54</c:f>
              <c:strCache>
                <c:ptCount val="1"/>
                <c:pt idx="0">
                  <c:v>Естественный прирост</c:v>
                </c:pt>
              </c:strCache>
            </c:strRef>
          </c:tx>
          <c:cat>
            <c:numRef>
              <c:f>Лист4!$E$51:$J$51</c:f>
              <c:numCache>
                <c:formatCode>General</c:formatCode>
                <c:ptCount val="6"/>
                <c:pt idx="0">
                  <c:v>2005</c:v>
                </c:pt>
                <c:pt idx="1">
                  <c:v>2006</c:v>
                </c:pt>
                <c:pt idx="2">
                  <c:v>2007</c:v>
                </c:pt>
                <c:pt idx="3">
                  <c:v>2008</c:v>
                </c:pt>
                <c:pt idx="4">
                  <c:v>2011</c:v>
                </c:pt>
                <c:pt idx="5">
                  <c:v>2012</c:v>
                </c:pt>
              </c:numCache>
            </c:numRef>
          </c:cat>
          <c:val>
            <c:numRef>
              <c:f>Лист4!$E$54:$J$54</c:f>
              <c:numCache>
                <c:formatCode>0.00</c:formatCode>
                <c:ptCount val="6"/>
                <c:pt idx="0">
                  <c:v>-6.7567567567567473</c:v>
                </c:pt>
                <c:pt idx="1">
                  <c:v>-8.8085303662494248</c:v>
                </c:pt>
                <c:pt idx="2">
                  <c:v>-13.268465280849181</c:v>
                </c:pt>
                <c:pt idx="3">
                  <c:v>-11.241007194244601</c:v>
                </c:pt>
                <c:pt idx="4">
                  <c:v>-25.190392501464526</c:v>
                </c:pt>
                <c:pt idx="5">
                  <c:v>-27.988338192419789</c:v>
                </c:pt>
              </c:numCache>
            </c:numRef>
          </c:val>
        </c:ser>
        <c:ser>
          <c:idx val="3"/>
          <c:order val="3"/>
          <c:tx>
            <c:strRef>
              <c:f>Лист4!$D$55</c:f>
              <c:strCache>
                <c:ptCount val="1"/>
                <c:pt idx="0">
                  <c:v>Механический прирост</c:v>
                </c:pt>
              </c:strCache>
            </c:strRef>
          </c:tx>
          <c:cat>
            <c:numRef>
              <c:f>Лист4!$E$51:$J$51</c:f>
              <c:numCache>
                <c:formatCode>General</c:formatCode>
                <c:ptCount val="6"/>
                <c:pt idx="0">
                  <c:v>2005</c:v>
                </c:pt>
                <c:pt idx="1">
                  <c:v>2006</c:v>
                </c:pt>
                <c:pt idx="2">
                  <c:v>2007</c:v>
                </c:pt>
                <c:pt idx="3">
                  <c:v>2008</c:v>
                </c:pt>
                <c:pt idx="4">
                  <c:v>2011</c:v>
                </c:pt>
                <c:pt idx="5">
                  <c:v>2012</c:v>
                </c:pt>
              </c:numCache>
            </c:numRef>
          </c:cat>
          <c:val>
            <c:numRef>
              <c:f>Лист4!$E$55:$J$55</c:f>
              <c:numCache>
                <c:formatCode>0.00</c:formatCode>
                <c:ptCount val="6"/>
                <c:pt idx="0">
                  <c:v>9.9099099099099366</c:v>
                </c:pt>
                <c:pt idx="1">
                  <c:v>-20.399999999999999</c:v>
                </c:pt>
                <c:pt idx="2">
                  <c:v>59.3</c:v>
                </c:pt>
                <c:pt idx="3">
                  <c:v>10.79</c:v>
                </c:pt>
                <c:pt idx="4">
                  <c:v>29.88</c:v>
                </c:pt>
                <c:pt idx="5">
                  <c:v>32.65</c:v>
                </c:pt>
              </c:numCache>
            </c:numRef>
          </c:val>
        </c:ser>
        <c:marker val="1"/>
        <c:axId val="155961984"/>
        <c:axId val="156034176"/>
      </c:lineChart>
      <c:catAx>
        <c:axId val="155961984"/>
        <c:scaling>
          <c:orientation val="minMax"/>
        </c:scaling>
        <c:axPos val="b"/>
        <c:numFmt formatCode="General" sourceLinked="1"/>
        <c:majorTickMark val="none"/>
        <c:tickLblPos val="nextTo"/>
        <c:crossAx val="156034176"/>
        <c:crosses val="autoZero"/>
        <c:auto val="1"/>
        <c:lblAlgn val="ctr"/>
        <c:lblOffset val="100"/>
      </c:catAx>
      <c:valAx>
        <c:axId val="156034176"/>
        <c:scaling>
          <c:orientation val="minMax"/>
        </c:scaling>
        <c:axPos val="l"/>
        <c:majorGridlines/>
        <c:title>
          <c:tx>
            <c:rich>
              <a:bodyPr/>
              <a:lstStyle/>
              <a:p>
                <a:pPr>
                  <a:defRPr/>
                </a:pPr>
                <a:r>
                  <a:rPr lang="ru-RU"/>
                  <a:t>значение на 1000 жителей</a:t>
                </a:r>
              </a:p>
            </c:rich>
          </c:tx>
          <c:layout>
            <c:manualLayout>
              <c:xMode val="edge"/>
              <c:yMode val="edge"/>
              <c:x val="0.17432950191570867"/>
              <c:y val="0.15078837367551279"/>
            </c:manualLayout>
          </c:layout>
        </c:title>
        <c:numFmt formatCode="0.00" sourceLinked="1"/>
        <c:majorTickMark val="none"/>
        <c:tickLblPos val="nextTo"/>
        <c:crossAx val="155961984"/>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Лист1!$A$219</c:f>
              <c:strCache>
                <c:ptCount val="1"/>
                <c:pt idx="0">
                  <c:v>Доходы местного бюджета</c:v>
                </c:pt>
              </c:strCache>
            </c:strRef>
          </c:tx>
          <c:cat>
            <c:numRef>
              <c:f>Лист1!$B$218:$H$218</c:f>
              <c:numCache>
                <c:formatCode>General</c:formatCode>
                <c:ptCount val="7"/>
                <c:pt idx="0">
                  <c:v>2008</c:v>
                </c:pt>
                <c:pt idx="1">
                  <c:v>2009</c:v>
                </c:pt>
                <c:pt idx="2">
                  <c:v>2010</c:v>
                </c:pt>
                <c:pt idx="3">
                  <c:v>2011</c:v>
                </c:pt>
                <c:pt idx="4">
                  <c:v>2012</c:v>
                </c:pt>
                <c:pt idx="5">
                  <c:v>2013</c:v>
                </c:pt>
                <c:pt idx="6">
                  <c:v>2014</c:v>
                </c:pt>
              </c:numCache>
            </c:numRef>
          </c:cat>
          <c:val>
            <c:numRef>
              <c:f>Лист1!$B$219:$H$219</c:f>
              <c:numCache>
                <c:formatCode>General</c:formatCode>
                <c:ptCount val="7"/>
                <c:pt idx="0">
                  <c:v>9084</c:v>
                </c:pt>
                <c:pt idx="1">
                  <c:v>7913.4</c:v>
                </c:pt>
                <c:pt idx="2">
                  <c:v>10614.6</c:v>
                </c:pt>
                <c:pt idx="3">
                  <c:v>11534.8</c:v>
                </c:pt>
                <c:pt idx="4">
                  <c:v>9967.9</c:v>
                </c:pt>
                <c:pt idx="5">
                  <c:v>13123.3</c:v>
                </c:pt>
                <c:pt idx="6">
                  <c:v>8118.3</c:v>
                </c:pt>
              </c:numCache>
            </c:numRef>
          </c:val>
        </c:ser>
        <c:ser>
          <c:idx val="1"/>
          <c:order val="1"/>
          <c:tx>
            <c:strRef>
              <c:f>Лист1!$A$220</c:f>
              <c:strCache>
                <c:ptCount val="1"/>
                <c:pt idx="0">
                  <c:v>Расходы местного бюджета</c:v>
                </c:pt>
              </c:strCache>
            </c:strRef>
          </c:tx>
          <c:cat>
            <c:numRef>
              <c:f>Лист1!$B$218:$H$218</c:f>
              <c:numCache>
                <c:formatCode>General</c:formatCode>
                <c:ptCount val="7"/>
                <c:pt idx="0">
                  <c:v>2008</c:v>
                </c:pt>
                <c:pt idx="1">
                  <c:v>2009</c:v>
                </c:pt>
                <c:pt idx="2">
                  <c:v>2010</c:v>
                </c:pt>
                <c:pt idx="3">
                  <c:v>2011</c:v>
                </c:pt>
                <c:pt idx="4">
                  <c:v>2012</c:v>
                </c:pt>
                <c:pt idx="5">
                  <c:v>2013</c:v>
                </c:pt>
                <c:pt idx="6">
                  <c:v>2014</c:v>
                </c:pt>
              </c:numCache>
            </c:numRef>
          </c:cat>
          <c:val>
            <c:numRef>
              <c:f>Лист1!$B$220:$H$220</c:f>
              <c:numCache>
                <c:formatCode>General</c:formatCode>
                <c:ptCount val="7"/>
                <c:pt idx="0">
                  <c:v>8851</c:v>
                </c:pt>
                <c:pt idx="1">
                  <c:v>8110.9</c:v>
                </c:pt>
                <c:pt idx="2">
                  <c:v>10626.6</c:v>
                </c:pt>
                <c:pt idx="3">
                  <c:v>11288.3</c:v>
                </c:pt>
                <c:pt idx="4">
                  <c:v>9697.9</c:v>
                </c:pt>
                <c:pt idx="5">
                  <c:v>13197.5</c:v>
                </c:pt>
                <c:pt idx="6">
                  <c:v>8014.2</c:v>
                </c:pt>
              </c:numCache>
            </c:numRef>
          </c:val>
        </c:ser>
        <c:ser>
          <c:idx val="2"/>
          <c:order val="2"/>
          <c:tx>
            <c:strRef>
              <c:f>Лист1!$A$221</c:f>
              <c:strCache>
                <c:ptCount val="1"/>
                <c:pt idx="0">
                  <c:v>Профицит, дефицит (-)</c:v>
                </c:pt>
              </c:strCache>
            </c:strRef>
          </c:tx>
          <c:cat>
            <c:numRef>
              <c:f>Лист1!$B$218:$H$218</c:f>
              <c:numCache>
                <c:formatCode>General</c:formatCode>
                <c:ptCount val="7"/>
                <c:pt idx="0">
                  <c:v>2008</c:v>
                </c:pt>
                <c:pt idx="1">
                  <c:v>2009</c:v>
                </c:pt>
                <c:pt idx="2">
                  <c:v>2010</c:v>
                </c:pt>
                <c:pt idx="3">
                  <c:v>2011</c:v>
                </c:pt>
                <c:pt idx="4">
                  <c:v>2012</c:v>
                </c:pt>
                <c:pt idx="5">
                  <c:v>2013</c:v>
                </c:pt>
                <c:pt idx="6">
                  <c:v>2014</c:v>
                </c:pt>
              </c:numCache>
            </c:numRef>
          </c:cat>
          <c:val>
            <c:numRef>
              <c:f>Лист1!$B$221:$H$221</c:f>
              <c:numCache>
                <c:formatCode>General</c:formatCode>
                <c:ptCount val="7"/>
                <c:pt idx="0">
                  <c:v>233</c:v>
                </c:pt>
                <c:pt idx="1">
                  <c:v>-197.5</c:v>
                </c:pt>
                <c:pt idx="2">
                  <c:v>-12</c:v>
                </c:pt>
                <c:pt idx="3">
                  <c:v>246.5</c:v>
                </c:pt>
                <c:pt idx="4">
                  <c:v>270</c:v>
                </c:pt>
                <c:pt idx="5">
                  <c:v>-74.2</c:v>
                </c:pt>
                <c:pt idx="6">
                  <c:v>104.1</c:v>
                </c:pt>
              </c:numCache>
            </c:numRef>
          </c:val>
        </c:ser>
        <c:axId val="114408832"/>
        <c:axId val="114422912"/>
      </c:barChart>
      <c:catAx>
        <c:axId val="114408832"/>
        <c:scaling>
          <c:orientation val="minMax"/>
        </c:scaling>
        <c:axPos val="b"/>
        <c:numFmt formatCode="General" sourceLinked="1"/>
        <c:majorTickMark val="none"/>
        <c:tickLblPos val="nextTo"/>
        <c:crossAx val="114422912"/>
        <c:crosses val="autoZero"/>
        <c:auto val="1"/>
        <c:lblAlgn val="ctr"/>
        <c:lblOffset val="100"/>
      </c:catAx>
      <c:valAx>
        <c:axId val="114422912"/>
        <c:scaling>
          <c:orientation val="minMax"/>
        </c:scaling>
        <c:axPos val="l"/>
        <c:majorGridlines/>
        <c:title>
          <c:tx>
            <c:rich>
              <a:bodyPr/>
              <a:lstStyle/>
              <a:p>
                <a:pPr>
                  <a:defRPr/>
                </a:pPr>
                <a:r>
                  <a:rPr lang="ru-RU"/>
                  <a:t>сумма, тыс.рублей</a:t>
                </a:r>
              </a:p>
            </c:rich>
          </c:tx>
        </c:title>
        <c:numFmt formatCode="General" sourceLinked="1"/>
        <c:majorTickMark val="none"/>
        <c:tickLblPos val="nextTo"/>
        <c:crossAx val="114408832"/>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Лист1!$B$245</c:f>
              <c:strCache>
                <c:ptCount val="1"/>
                <c:pt idx="0">
                  <c:v>Едровское СП</c:v>
                </c:pt>
              </c:strCache>
            </c:strRef>
          </c:tx>
          <c:cat>
            <c:numRef>
              <c:f>Лист1!$C$244:$I$244</c:f>
              <c:numCache>
                <c:formatCode>General</c:formatCode>
                <c:ptCount val="7"/>
                <c:pt idx="0">
                  <c:v>2008</c:v>
                </c:pt>
                <c:pt idx="1">
                  <c:v>2009</c:v>
                </c:pt>
                <c:pt idx="2">
                  <c:v>2010</c:v>
                </c:pt>
                <c:pt idx="3">
                  <c:v>2011</c:v>
                </c:pt>
                <c:pt idx="4">
                  <c:v>2012</c:v>
                </c:pt>
                <c:pt idx="5">
                  <c:v>2013</c:v>
                </c:pt>
                <c:pt idx="6">
                  <c:v>2014</c:v>
                </c:pt>
              </c:numCache>
            </c:numRef>
          </c:cat>
          <c:val>
            <c:numRef>
              <c:f>Лист1!$C$245:$I$245</c:f>
              <c:numCache>
                <c:formatCode>0.00</c:formatCode>
                <c:ptCount val="7"/>
                <c:pt idx="0" formatCode="General">
                  <c:v>1</c:v>
                </c:pt>
                <c:pt idx="1">
                  <c:v>0.87113606340819172</c:v>
                </c:pt>
                <c:pt idx="2">
                  <c:v>1.1684940554821639</c:v>
                </c:pt>
                <c:pt idx="3">
                  <c:v>1.2697930427124569</c:v>
                </c:pt>
                <c:pt idx="4">
                  <c:v>1.0973029502421838</c:v>
                </c:pt>
                <c:pt idx="5">
                  <c:v>1.4446609423161598</c:v>
                </c:pt>
                <c:pt idx="6">
                  <c:v>0.8936922060766187</c:v>
                </c:pt>
              </c:numCache>
            </c:numRef>
          </c:val>
        </c:ser>
        <c:ser>
          <c:idx val="1"/>
          <c:order val="1"/>
          <c:tx>
            <c:strRef>
              <c:f>Лист1!$B$246</c:f>
              <c:strCache>
                <c:ptCount val="1"/>
                <c:pt idx="0">
                  <c:v>Валдайский район</c:v>
                </c:pt>
              </c:strCache>
            </c:strRef>
          </c:tx>
          <c:cat>
            <c:numRef>
              <c:f>Лист1!$C$244:$I$244</c:f>
              <c:numCache>
                <c:formatCode>General</c:formatCode>
                <c:ptCount val="7"/>
                <c:pt idx="0">
                  <c:v>2008</c:v>
                </c:pt>
                <c:pt idx="1">
                  <c:v>2009</c:v>
                </c:pt>
                <c:pt idx="2">
                  <c:v>2010</c:v>
                </c:pt>
                <c:pt idx="3">
                  <c:v>2011</c:v>
                </c:pt>
                <c:pt idx="4">
                  <c:v>2012</c:v>
                </c:pt>
                <c:pt idx="5">
                  <c:v>2013</c:v>
                </c:pt>
                <c:pt idx="6">
                  <c:v>2014</c:v>
                </c:pt>
              </c:numCache>
            </c:numRef>
          </c:cat>
          <c:val>
            <c:numRef>
              <c:f>Лист1!$C$246:$I$246</c:f>
              <c:numCache>
                <c:formatCode>0.00</c:formatCode>
                <c:ptCount val="7"/>
                <c:pt idx="0" formatCode="General">
                  <c:v>1</c:v>
                </c:pt>
                <c:pt idx="1">
                  <c:v>0.99950527323347194</c:v>
                </c:pt>
                <c:pt idx="2">
                  <c:v>0.99157319572044478</c:v>
                </c:pt>
                <c:pt idx="3">
                  <c:v>1.0638913799899239</c:v>
                </c:pt>
                <c:pt idx="4">
                  <c:v>1.3076838187909137</c:v>
                </c:pt>
                <c:pt idx="5">
                  <c:v>1.2582475803467745</c:v>
                </c:pt>
                <c:pt idx="6">
                  <c:v>1.3344733981294887</c:v>
                </c:pt>
              </c:numCache>
            </c:numRef>
          </c:val>
        </c:ser>
        <c:marker val="1"/>
        <c:axId val="114440832"/>
        <c:axId val="114442624"/>
      </c:lineChart>
      <c:catAx>
        <c:axId val="114440832"/>
        <c:scaling>
          <c:orientation val="minMax"/>
        </c:scaling>
        <c:axPos val="b"/>
        <c:numFmt formatCode="General" sourceLinked="1"/>
        <c:majorTickMark val="none"/>
        <c:tickLblPos val="nextTo"/>
        <c:crossAx val="114442624"/>
        <c:crosses val="autoZero"/>
        <c:auto val="1"/>
        <c:lblAlgn val="ctr"/>
        <c:lblOffset val="100"/>
      </c:catAx>
      <c:valAx>
        <c:axId val="114442624"/>
        <c:scaling>
          <c:orientation val="minMax"/>
        </c:scaling>
        <c:axPos val="l"/>
        <c:majorGridlines/>
        <c:title>
          <c:tx>
            <c:rich>
              <a:bodyPr/>
              <a:lstStyle/>
              <a:p>
                <a:pPr>
                  <a:defRPr/>
                </a:pPr>
                <a:r>
                  <a:rPr lang="ru-RU"/>
                  <a:t>относительное увеличение доходов</a:t>
                </a:r>
              </a:p>
            </c:rich>
          </c:tx>
        </c:title>
        <c:numFmt formatCode="General" sourceLinked="1"/>
        <c:majorTickMark val="none"/>
        <c:tickLblPos val="nextTo"/>
        <c:crossAx val="114440832"/>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Лист1!$A$276</c:f>
              <c:strCache>
                <c:ptCount val="1"/>
                <c:pt idx="0">
                  <c:v>доля поселения в доходах</c:v>
                </c:pt>
              </c:strCache>
            </c:strRef>
          </c:tx>
          <c:cat>
            <c:numRef>
              <c:f>Лист1!$B$275:$H$275</c:f>
              <c:numCache>
                <c:formatCode>General</c:formatCode>
                <c:ptCount val="7"/>
                <c:pt idx="0">
                  <c:v>2008</c:v>
                </c:pt>
                <c:pt idx="1">
                  <c:v>2009</c:v>
                </c:pt>
                <c:pt idx="2">
                  <c:v>2010</c:v>
                </c:pt>
                <c:pt idx="3">
                  <c:v>2011</c:v>
                </c:pt>
                <c:pt idx="4">
                  <c:v>2012</c:v>
                </c:pt>
                <c:pt idx="5">
                  <c:v>2013</c:v>
                </c:pt>
                <c:pt idx="6">
                  <c:v>2014</c:v>
                </c:pt>
              </c:numCache>
            </c:numRef>
          </c:cat>
          <c:val>
            <c:numRef>
              <c:f>Лист1!$B$276:$H$276</c:f>
              <c:numCache>
                <c:formatCode>0.00</c:formatCode>
                <c:ptCount val="7"/>
                <c:pt idx="0">
                  <c:v>1.8914553649640606</c:v>
                </c:pt>
                <c:pt idx="1">
                  <c:v>1.6485305529370713</c:v>
                </c:pt>
                <c:pt idx="2">
                  <c:v>2.2289371674317295</c:v>
                </c:pt>
                <c:pt idx="3">
                  <c:v>2.257520747141756</c:v>
                </c:pt>
                <c:pt idx="4">
                  <c:v>1.5871570194586342</c:v>
                </c:pt>
                <c:pt idx="5">
                  <c:v>2.1716804646227548</c:v>
                </c:pt>
                <c:pt idx="6">
                  <c:v>1.2667010973613688</c:v>
                </c:pt>
              </c:numCache>
            </c:numRef>
          </c:val>
        </c:ser>
        <c:ser>
          <c:idx val="1"/>
          <c:order val="1"/>
          <c:tx>
            <c:strRef>
              <c:f>Лист1!$A$277</c:f>
              <c:strCache>
                <c:ptCount val="1"/>
                <c:pt idx="0">
                  <c:v>доля поселения  в расходах</c:v>
                </c:pt>
              </c:strCache>
            </c:strRef>
          </c:tx>
          <c:cat>
            <c:numRef>
              <c:f>Лист1!$B$275:$H$275</c:f>
              <c:numCache>
                <c:formatCode>General</c:formatCode>
                <c:ptCount val="7"/>
                <c:pt idx="0">
                  <c:v>2008</c:v>
                </c:pt>
                <c:pt idx="1">
                  <c:v>2009</c:v>
                </c:pt>
                <c:pt idx="2">
                  <c:v>2010</c:v>
                </c:pt>
                <c:pt idx="3">
                  <c:v>2011</c:v>
                </c:pt>
                <c:pt idx="4">
                  <c:v>2012</c:v>
                </c:pt>
                <c:pt idx="5">
                  <c:v>2013</c:v>
                </c:pt>
                <c:pt idx="6">
                  <c:v>2014</c:v>
                </c:pt>
              </c:numCache>
            </c:numRef>
          </c:cat>
          <c:val>
            <c:numRef>
              <c:f>Лист1!$B$277:$H$277</c:f>
              <c:numCache>
                <c:formatCode>0.00</c:formatCode>
                <c:ptCount val="7"/>
                <c:pt idx="0">
                  <c:v>1.7858245360306371</c:v>
                </c:pt>
                <c:pt idx="1">
                  <c:v>1.6485305529370713</c:v>
                </c:pt>
                <c:pt idx="2">
                  <c:v>2.2285700983715819</c:v>
                </c:pt>
                <c:pt idx="3">
                  <c:v>2.205480966900299</c:v>
                </c:pt>
                <c:pt idx="4">
                  <c:v>1.4963396543972134</c:v>
                </c:pt>
                <c:pt idx="5">
                  <c:v>2.202859352333479</c:v>
                </c:pt>
                <c:pt idx="6">
                  <c:v>1.2366924625984708</c:v>
                </c:pt>
              </c:numCache>
            </c:numRef>
          </c:val>
        </c:ser>
        <c:marker val="1"/>
        <c:axId val="114485120"/>
        <c:axId val="114486656"/>
      </c:lineChart>
      <c:catAx>
        <c:axId val="114485120"/>
        <c:scaling>
          <c:orientation val="minMax"/>
        </c:scaling>
        <c:axPos val="b"/>
        <c:numFmt formatCode="General" sourceLinked="1"/>
        <c:majorTickMark val="none"/>
        <c:tickLblPos val="nextTo"/>
        <c:crossAx val="114486656"/>
        <c:crosses val="autoZero"/>
        <c:auto val="1"/>
        <c:lblAlgn val="ctr"/>
        <c:lblOffset val="100"/>
      </c:catAx>
      <c:valAx>
        <c:axId val="114486656"/>
        <c:scaling>
          <c:orientation val="minMax"/>
        </c:scaling>
        <c:axPos val="l"/>
        <c:majorGridlines/>
        <c:title>
          <c:tx>
            <c:rich>
              <a:bodyPr/>
              <a:lstStyle/>
              <a:p>
                <a:pPr>
                  <a:defRPr/>
                </a:pPr>
                <a:r>
                  <a:rPr lang="ru-RU"/>
                  <a:t>доля в бюджете района,%</a:t>
                </a:r>
              </a:p>
            </c:rich>
          </c:tx>
        </c:title>
        <c:numFmt formatCode="0.00" sourceLinked="1"/>
        <c:majorTickMark val="none"/>
        <c:tickLblPos val="nextTo"/>
        <c:crossAx val="114485120"/>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Лист4!$P$197</c:f>
              <c:strCache>
                <c:ptCount val="1"/>
                <c:pt idx="0">
                  <c:v>Общая площадь жилых помещений</c:v>
                </c:pt>
              </c:strCache>
            </c:strRef>
          </c:tx>
          <c:cat>
            <c:numRef>
              <c:f>Лист4!$Q$196:$V$196</c:f>
              <c:numCache>
                <c:formatCode>General</c:formatCode>
                <c:ptCount val="6"/>
                <c:pt idx="0">
                  <c:v>2008</c:v>
                </c:pt>
                <c:pt idx="1">
                  <c:v>2009</c:v>
                </c:pt>
                <c:pt idx="2">
                  <c:v>2010</c:v>
                </c:pt>
                <c:pt idx="3">
                  <c:v>2011</c:v>
                </c:pt>
                <c:pt idx="4">
                  <c:v>2012</c:v>
                </c:pt>
                <c:pt idx="5">
                  <c:v>2013</c:v>
                </c:pt>
              </c:numCache>
            </c:numRef>
          </c:cat>
          <c:val>
            <c:numRef>
              <c:f>Лист4!$Q$197:$V$197</c:f>
              <c:numCache>
                <c:formatCode>General</c:formatCode>
                <c:ptCount val="6"/>
                <c:pt idx="0">
                  <c:v>64.599999999999994</c:v>
                </c:pt>
                <c:pt idx="1">
                  <c:v>63.6</c:v>
                </c:pt>
                <c:pt idx="2">
                  <c:v>63.5</c:v>
                </c:pt>
                <c:pt idx="3">
                  <c:v>64.7</c:v>
                </c:pt>
                <c:pt idx="4">
                  <c:v>65.2</c:v>
                </c:pt>
                <c:pt idx="5">
                  <c:v>59.57</c:v>
                </c:pt>
              </c:numCache>
            </c:numRef>
          </c:val>
        </c:ser>
        <c:marker val="1"/>
        <c:axId val="114766208"/>
        <c:axId val="114767744"/>
      </c:lineChart>
      <c:catAx>
        <c:axId val="114766208"/>
        <c:scaling>
          <c:orientation val="minMax"/>
        </c:scaling>
        <c:axPos val="b"/>
        <c:numFmt formatCode="General" sourceLinked="1"/>
        <c:majorTickMark val="none"/>
        <c:tickLblPos val="nextTo"/>
        <c:crossAx val="114767744"/>
        <c:crosses val="autoZero"/>
        <c:auto val="1"/>
        <c:lblAlgn val="ctr"/>
        <c:lblOffset val="100"/>
      </c:catAx>
      <c:valAx>
        <c:axId val="114767744"/>
        <c:scaling>
          <c:orientation val="minMax"/>
        </c:scaling>
        <c:axPos val="l"/>
        <c:majorGridlines/>
        <c:title>
          <c:tx>
            <c:rich>
              <a:bodyPr/>
              <a:lstStyle/>
              <a:p>
                <a:pPr>
                  <a:defRPr/>
                </a:pPr>
                <a:r>
                  <a:rPr lang="ru-RU"/>
                  <a:t>площадь, тыс.кв.м</a:t>
                </a:r>
              </a:p>
            </c:rich>
          </c:tx>
          <c:layout>
            <c:manualLayout>
              <c:xMode val="edge"/>
              <c:yMode val="edge"/>
              <c:x val="0.20614035087719385"/>
              <c:y val="0.26400444736074752"/>
            </c:manualLayout>
          </c:layout>
        </c:title>
        <c:numFmt formatCode="General" sourceLinked="1"/>
        <c:majorTickMark val="none"/>
        <c:tickLblPos val="nextTo"/>
        <c:crossAx val="114766208"/>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58071</Words>
  <Characters>331009</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2018-05-10T08:48:00Z</cp:lastPrinted>
  <dcterms:created xsi:type="dcterms:W3CDTF">2018-04-27T11:40:00Z</dcterms:created>
  <dcterms:modified xsi:type="dcterms:W3CDTF">2018-05-10T08:51:00Z</dcterms:modified>
</cp:coreProperties>
</file>